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C30E" w14:textId="77777777" w:rsidR="007D56CD" w:rsidRDefault="007D56CD">
      <w:bookmarkStart w:id="0" w:name="_GoBack"/>
      <w:bookmarkEnd w:id="0"/>
    </w:p>
    <w:tbl>
      <w:tblPr>
        <w:tblpPr w:leftFromText="180" w:rightFromText="180" w:horzAnchor="margin" w:tblpY="-435"/>
        <w:tblW w:w="10416" w:type="dxa"/>
        <w:tblLook w:val="04A0" w:firstRow="1" w:lastRow="0" w:firstColumn="1" w:lastColumn="0" w:noHBand="0" w:noVBand="1"/>
      </w:tblPr>
      <w:tblGrid>
        <w:gridCol w:w="5208"/>
        <w:gridCol w:w="5208"/>
      </w:tblGrid>
      <w:tr w:rsidR="00180E08" w:rsidRPr="005824AA" w14:paraId="4B154553" w14:textId="77777777" w:rsidTr="006001B1">
        <w:trPr>
          <w:trHeight w:val="1544"/>
        </w:trPr>
        <w:tc>
          <w:tcPr>
            <w:tcW w:w="5208" w:type="dxa"/>
          </w:tcPr>
          <w:p w14:paraId="5A0F6877" w14:textId="73C36500" w:rsidR="00180E08" w:rsidRPr="005824AA" w:rsidRDefault="007D56CD" w:rsidP="007D56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69960" wp14:editId="588BE4F5">
                  <wp:extent cx="2895600" cy="128587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14:paraId="1C27835C" w14:textId="77777777" w:rsidR="00180E08" w:rsidRPr="009A158D" w:rsidRDefault="00180E08" w:rsidP="006001B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</w:p>
          <w:p w14:paraId="2144E41D" w14:textId="77777777" w:rsidR="00592AB8" w:rsidRDefault="00592AB8" w:rsidP="006001B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</w:p>
          <w:p w14:paraId="363B6CC9" w14:textId="1FB17B6B" w:rsidR="006001B1" w:rsidRDefault="006001B1" w:rsidP="006001B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</w:p>
          <w:p w14:paraId="4D073ABC" w14:textId="0EB36378" w:rsidR="003F720D" w:rsidRPr="00241C2B" w:rsidRDefault="003F720D" w:rsidP="006001B1">
            <w:pPr>
              <w:tabs>
                <w:tab w:val="left" w:pos="5940"/>
              </w:tabs>
              <w:jc w:val="right"/>
              <w:rPr>
                <w:rFonts w:ascii="Arial" w:hAnsi="Arial" w:cs="Arial"/>
                <w:b/>
              </w:rPr>
            </w:pPr>
          </w:p>
          <w:p w14:paraId="57BEBAE8" w14:textId="60CA2AFB" w:rsidR="009F6258" w:rsidRPr="007C30CD" w:rsidRDefault="009F6258" w:rsidP="003F720D">
            <w:pPr>
              <w:tabs>
                <w:tab w:val="left" w:pos="5940"/>
              </w:tabs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A116257" w14:textId="38349358" w:rsidR="007B730D" w:rsidRPr="00782CAA" w:rsidRDefault="00D51B11" w:rsidP="00D51B1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3330"/>
        </w:tabs>
        <w:ind w:left="72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ΡΥΘΜΙΣΗ ΛΗΞΙΠΡΟΘΕΣΜΩΝ ΟΦΕΙΛΩΝ ΥΔΡΕΥΣΗΣ</w:t>
      </w:r>
    </w:p>
    <w:p w14:paraId="4FE2909F" w14:textId="77777777" w:rsidR="00AF270E" w:rsidRPr="00F04160" w:rsidRDefault="00AF270E" w:rsidP="00AF270E">
      <w:pPr>
        <w:ind w:firstLine="720"/>
        <w:jc w:val="both"/>
        <w:rPr>
          <w:rFonts w:ascii="Arial" w:hAnsi="Arial" w:cs="Arial"/>
        </w:rPr>
      </w:pPr>
    </w:p>
    <w:p w14:paraId="13FE310E" w14:textId="77777777" w:rsidR="009A666D" w:rsidRPr="009A666D" w:rsidRDefault="009A666D" w:rsidP="009A666D">
      <w:pPr>
        <w:tabs>
          <w:tab w:val="left" w:pos="2977"/>
        </w:tabs>
        <w:ind w:right="-126"/>
        <w:jc w:val="both"/>
        <w:rPr>
          <w:rFonts w:ascii="Arial" w:hAnsi="Arial" w:cs="Arial"/>
          <w:szCs w:val="28"/>
        </w:rPr>
      </w:pPr>
    </w:p>
    <w:tbl>
      <w:tblPr>
        <w:tblW w:w="9642" w:type="dxa"/>
        <w:tblInd w:w="108" w:type="dxa"/>
        <w:tblLook w:val="04A0" w:firstRow="1" w:lastRow="0" w:firstColumn="1" w:lastColumn="0" w:noHBand="0" w:noVBand="1"/>
      </w:tblPr>
      <w:tblGrid>
        <w:gridCol w:w="9642"/>
      </w:tblGrid>
      <w:tr w:rsidR="009A666D" w:rsidRPr="00844257" w14:paraId="18780562" w14:textId="77777777" w:rsidTr="009A666D">
        <w:trPr>
          <w:trHeight w:val="300"/>
        </w:trPr>
        <w:tc>
          <w:tcPr>
            <w:tcW w:w="96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3DD28EA" w14:textId="77777777" w:rsidR="009A666D" w:rsidRPr="00844257" w:rsidRDefault="009A666D" w:rsidP="009A666D">
            <w:pPr>
              <w:tabs>
                <w:tab w:val="left" w:pos="2977"/>
              </w:tabs>
              <w:ind w:right="-126"/>
              <w:jc w:val="both"/>
              <w:rPr>
                <w:rFonts w:ascii="Arial" w:hAnsi="Arial" w:cs="Arial"/>
              </w:rPr>
            </w:pPr>
          </w:p>
          <w:p w14:paraId="36777B04" w14:textId="53BAC4B4" w:rsidR="009A666D" w:rsidRDefault="00D51B11" w:rsidP="009A666D">
            <w:pPr>
              <w:tabs>
                <w:tab w:val="left" w:pos="2977"/>
              </w:tabs>
              <w:ind w:right="-1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</w:t>
            </w:r>
            <w:r w:rsidR="009A666D" w:rsidRPr="00844257">
              <w:rPr>
                <w:rFonts w:ascii="Arial" w:hAnsi="Arial" w:cs="Arial"/>
              </w:rPr>
              <w:t>ύθμιση ληξιπρόθεσμων οφειλών</w:t>
            </w:r>
            <w:r>
              <w:rPr>
                <w:rFonts w:ascii="Arial" w:hAnsi="Arial" w:cs="Arial"/>
              </w:rPr>
              <w:t xml:space="preserve"> ύδρευσης βάσει της </w:t>
            </w:r>
            <w:proofErr w:type="spellStart"/>
            <w:r>
              <w:rPr>
                <w:rFonts w:ascii="Arial" w:hAnsi="Arial" w:cs="Arial"/>
              </w:rPr>
              <w:t>αριθμ</w:t>
            </w:r>
            <w:proofErr w:type="spellEnd"/>
            <w:r>
              <w:rPr>
                <w:rFonts w:ascii="Arial" w:hAnsi="Arial" w:cs="Arial"/>
              </w:rPr>
              <w:t>. 384/2021 αποφάσεως του Δ.Σ. της ΔΕΥΑΒ</w:t>
            </w:r>
            <w:r w:rsidR="009A666D" w:rsidRPr="00844257">
              <w:rPr>
                <w:rFonts w:ascii="Arial" w:hAnsi="Arial" w:cs="Arial"/>
              </w:rPr>
              <w:t>, με τους εξής όρους και προϋποθέσεις:</w:t>
            </w:r>
          </w:p>
          <w:p w14:paraId="5D67B676" w14:textId="77777777" w:rsidR="007D56CD" w:rsidRPr="00844257" w:rsidRDefault="007D56CD" w:rsidP="009A666D">
            <w:pPr>
              <w:tabs>
                <w:tab w:val="left" w:pos="2977"/>
              </w:tabs>
              <w:ind w:right="-126"/>
              <w:jc w:val="both"/>
              <w:rPr>
                <w:rFonts w:ascii="Arial" w:hAnsi="Arial" w:cs="Arial"/>
              </w:rPr>
            </w:pPr>
          </w:p>
          <w:p w14:paraId="20B71269" w14:textId="77777777" w:rsidR="009A666D" w:rsidRPr="00844257" w:rsidRDefault="009A666D" w:rsidP="009A666D">
            <w:pPr>
              <w:tabs>
                <w:tab w:val="left" w:pos="2977"/>
              </w:tabs>
              <w:ind w:right="-126"/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page" w:tblpXSpec="center" w:tblpY="14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6"/>
              <w:gridCol w:w="4120"/>
            </w:tblGrid>
            <w:tr w:rsidR="00D51B11" w:rsidRPr="00844257" w14:paraId="2BC70840" w14:textId="77777777" w:rsidTr="00D51B11">
              <w:trPr>
                <w:trHeight w:val="416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7E41D" w14:textId="6F51DC11" w:rsidR="00D51B11" w:rsidRPr="00D51B11" w:rsidRDefault="00D51B11" w:rsidP="00D51B1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51B11">
                    <w:rPr>
                      <w:rFonts w:ascii="Arial" w:hAnsi="Arial" w:cs="Arial"/>
                      <w:b/>
                    </w:rPr>
                    <w:t>ΑΡΙΘΜΟΣ ΔΟΣΕΩΝ</w:t>
                  </w:r>
                </w:p>
              </w:tc>
            </w:tr>
            <w:tr w:rsidR="009A666D" w:rsidRPr="00844257" w14:paraId="192A1415" w14:textId="77777777" w:rsidTr="009A666D">
              <w:trPr>
                <w:trHeight w:val="64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4A0456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Οφειλές συνολικού ποσού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527F0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Μέγιστος αριθμός μηνιαίων δόσεων έως</w:t>
                  </w:r>
                </w:p>
              </w:tc>
            </w:tr>
            <w:tr w:rsidR="009A666D" w:rsidRPr="00844257" w14:paraId="515A30F9" w14:textId="77777777" w:rsidTr="009A666D">
              <w:trPr>
                <w:trHeight w:val="18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5120B3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από      100,00 €   έως         500,00€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606047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17</w:t>
                  </w:r>
                </w:p>
              </w:tc>
            </w:tr>
            <w:tr w:rsidR="009A666D" w:rsidRPr="00844257" w14:paraId="1CF2E6EB" w14:textId="77777777" w:rsidTr="009A666D">
              <w:trPr>
                <w:trHeight w:val="18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5AE9B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από      500,01 €   έως      1.000,00€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D8243C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30</w:t>
                  </w:r>
                </w:p>
              </w:tc>
            </w:tr>
            <w:tr w:rsidR="009A666D" w:rsidRPr="00844257" w14:paraId="3A947103" w14:textId="77777777" w:rsidTr="009A666D">
              <w:trPr>
                <w:trHeight w:val="18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918609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από   1.000,01 €   έως      2.500,00€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D7BE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50</w:t>
                  </w:r>
                </w:p>
              </w:tc>
            </w:tr>
            <w:tr w:rsidR="009A666D" w:rsidRPr="00844257" w14:paraId="64943181" w14:textId="77777777" w:rsidTr="009A666D">
              <w:trPr>
                <w:trHeight w:val="18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C04386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από   2.500,01 €   έως      3.500,00€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EB57CD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60</w:t>
                  </w:r>
                </w:p>
              </w:tc>
            </w:tr>
            <w:tr w:rsidR="009A666D" w:rsidRPr="00844257" w14:paraId="621A2984" w14:textId="77777777" w:rsidTr="009A666D">
              <w:trPr>
                <w:trHeight w:val="186"/>
              </w:trPr>
              <w:tc>
                <w:tcPr>
                  <w:tcW w:w="5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C207E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ποσά μεγαλύτερα των      3.500,00€</w:t>
                  </w:r>
                </w:p>
              </w:tc>
              <w:tc>
                <w:tcPr>
                  <w:tcW w:w="4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5A91" w14:textId="77777777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9A666D" w:rsidRPr="00844257" w14:paraId="3E8F4AD4" w14:textId="77777777" w:rsidTr="009A666D">
              <w:trPr>
                <w:trHeight w:val="186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799AD" w14:textId="18562B8C" w:rsidR="009A666D" w:rsidRPr="00D51B11" w:rsidRDefault="00D51B11" w:rsidP="00D51B11">
                  <w:pPr>
                    <w:tabs>
                      <w:tab w:val="left" w:pos="2977"/>
                    </w:tabs>
                    <w:ind w:right="-126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ΕΛΑΧΙΣΤΟ ΠΟΣΟ ΔΟΣΗΣ</w:t>
                  </w:r>
                </w:p>
              </w:tc>
            </w:tr>
            <w:tr w:rsidR="009A666D" w:rsidRPr="00844257" w14:paraId="22C1450A" w14:textId="77777777" w:rsidTr="009A666D">
              <w:trPr>
                <w:trHeight w:val="197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855D3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Ελάχιστο ποσό δόσης για ρύθμιση από         100,00€   έως  1.000,00€      τα      30€</w:t>
                  </w:r>
                </w:p>
              </w:tc>
            </w:tr>
            <w:tr w:rsidR="009A666D" w:rsidRPr="00844257" w14:paraId="00A0EAA8" w14:textId="77777777" w:rsidTr="009A666D">
              <w:trPr>
                <w:trHeight w:val="63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824BC0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Ελάχιστο ποσό δόσης για ρύθμιση από       1.000,01€   έως  2.500,00€     τα      50€</w:t>
                  </w:r>
                </w:p>
              </w:tc>
            </w:tr>
            <w:tr w:rsidR="009A666D" w:rsidRPr="00844257" w14:paraId="786A64D4" w14:textId="77777777" w:rsidTr="009A666D">
              <w:trPr>
                <w:trHeight w:val="63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6E3B5" w14:textId="77777777" w:rsidR="009A666D" w:rsidRPr="00844257" w:rsidRDefault="009A666D" w:rsidP="009A666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Ελάχιστο ποσό δόσης για ρύθμιση από       2.500,01€   έως  3.500,00€     τα      60€</w:t>
                  </w:r>
                </w:p>
              </w:tc>
            </w:tr>
            <w:tr w:rsidR="009A666D" w:rsidRPr="00844257" w14:paraId="507807BF" w14:textId="77777777" w:rsidTr="009A666D">
              <w:trPr>
                <w:trHeight w:val="63"/>
              </w:trPr>
              <w:tc>
                <w:tcPr>
                  <w:tcW w:w="9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AB08A9" w14:textId="27EF7CAA" w:rsidR="009A666D" w:rsidRPr="00844257" w:rsidRDefault="009A666D" w:rsidP="00E271CD">
                  <w:pPr>
                    <w:tabs>
                      <w:tab w:val="left" w:pos="2977"/>
                    </w:tabs>
                    <w:ind w:right="-126"/>
                    <w:jc w:val="both"/>
                    <w:rPr>
                      <w:rFonts w:ascii="Arial" w:hAnsi="Arial" w:cs="Arial"/>
                    </w:rPr>
                  </w:pPr>
                  <w:r w:rsidRPr="00844257">
                    <w:rPr>
                      <w:rFonts w:ascii="Arial" w:hAnsi="Arial" w:cs="Arial"/>
                    </w:rPr>
                    <w:t>Ελάχιστο ποσό δόσης για ρύθμιση για ποσά μεγαλύτερα των 3.500,00€    τα      80€</w:t>
                  </w:r>
                </w:p>
              </w:tc>
            </w:tr>
          </w:tbl>
          <w:p w14:paraId="0CD5903D" w14:textId="77777777" w:rsidR="008E4E16" w:rsidRPr="00844257" w:rsidRDefault="008E4E16" w:rsidP="009A666D">
            <w:pPr>
              <w:tabs>
                <w:tab w:val="left" w:pos="2977"/>
              </w:tabs>
              <w:ind w:right="-126"/>
              <w:jc w:val="both"/>
              <w:rPr>
                <w:rFonts w:ascii="Arial" w:hAnsi="Arial" w:cs="Arial"/>
              </w:rPr>
            </w:pPr>
          </w:p>
          <w:p w14:paraId="4D230D47" w14:textId="77777777" w:rsidR="007D56CD" w:rsidRDefault="007D56CD" w:rsidP="00D51B1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642364D" w14:textId="4C329FA3" w:rsidR="00D51B11" w:rsidRPr="007D56CD" w:rsidRDefault="00D51B11" w:rsidP="00D51B11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7D56CD">
              <w:rPr>
                <w:rFonts w:ascii="Arial" w:hAnsi="Arial" w:cs="Arial"/>
                <w:b/>
                <w:u w:val="single"/>
              </w:rPr>
              <w:t>ΠΡΟΚΑΤΑΒΟΛΗ</w:t>
            </w:r>
          </w:p>
          <w:p w14:paraId="54EE55BE" w14:textId="6A8A49E8" w:rsidR="00BD1FEE" w:rsidRDefault="008E4E16" w:rsidP="008E4E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84488">
              <w:rPr>
                <w:rFonts w:ascii="Arial" w:hAnsi="Arial" w:cs="Arial"/>
                <w:b/>
              </w:rPr>
              <w:t>Α</w:t>
            </w:r>
            <w:r w:rsidR="00BD1FEE" w:rsidRPr="00C8448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  </w:t>
            </w:r>
            <w:r w:rsidR="00BD1FEE" w:rsidRPr="00FC14D7">
              <w:rPr>
                <w:rFonts w:ascii="Arial" w:hAnsi="Arial" w:cs="Arial"/>
                <w:b/>
              </w:rPr>
              <w:t>Σε περίπτωση που είναι ο πρώτος διακανονισμός ή υπήρξε στο παρελθόν μόνο ένας διακανονισμός και δεν τηρήθηκε</w:t>
            </w:r>
          </w:p>
          <w:p w14:paraId="61DC8029" w14:textId="2A3D8549" w:rsidR="008E4E16" w:rsidRDefault="00BD1FEE" w:rsidP="008E4E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D1FEE">
              <w:rPr>
                <w:rFonts w:ascii="Arial" w:hAnsi="Arial" w:cs="Arial"/>
              </w:rPr>
              <w:t>– Απαιτείται προκαταβολή 10% του ποσού των οφειλών που αφορούν οικιακό και κτηνοτροφικό τιμολόγιο</w:t>
            </w:r>
            <w:r w:rsidR="00FC14D7">
              <w:rPr>
                <w:rFonts w:ascii="Arial" w:hAnsi="Arial" w:cs="Arial"/>
              </w:rPr>
              <w:t xml:space="preserve"> και</w:t>
            </w:r>
            <w:r w:rsidRPr="00BD1FEE">
              <w:rPr>
                <w:rFonts w:ascii="Arial" w:hAnsi="Arial" w:cs="Arial"/>
              </w:rPr>
              <w:t xml:space="preserve"> το 15% του ποσού των οφειλών που αφορούν λοιπά τιμολόγια</w:t>
            </w:r>
            <w:r w:rsidR="008E4E16">
              <w:rPr>
                <w:rFonts w:ascii="Arial" w:hAnsi="Arial" w:cs="Arial"/>
              </w:rPr>
              <w:t>.</w:t>
            </w:r>
          </w:p>
          <w:p w14:paraId="2A1E51B4" w14:textId="75CD2262" w:rsidR="00BD1FEE" w:rsidRPr="00BD1FEE" w:rsidRDefault="00BD1FEE" w:rsidP="00BD1FEE">
            <w:pPr>
              <w:jc w:val="both"/>
              <w:rPr>
                <w:rFonts w:ascii="Arial" w:hAnsi="Arial" w:cs="Arial"/>
              </w:rPr>
            </w:pPr>
            <w:r w:rsidRPr="00BD1FEE">
              <w:rPr>
                <w:rFonts w:ascii="Arial" w:hAnsi="Arial" w:cs="Arial"/>
                <w:b/>
                <w:bCs/>
              </w:rPr>
              <w:t>Β. Σε περίπτωση που έχουν προηγηθεί ήδη δύο</w:t>
            </w:r>
            <w:r>
              <w:rPr>
                <w:rFonts w:ascii="Arial" w:hAnsi="Arial" w:cs="Arial"/>
                <w:b/>
                <w:bCs/>
              </w:rPr>
              <w:t xml:space="preserve"> ή τρεις</w:t>
            </w:r>
            <w:r w:rsidRPr="00BD1FEE">
              <w:rPr>
                <w:rFonts w:ascii="Arial" w:hAnsi="Arial" w:cs="Arial"/>
                <w:b/>
                <w:bCs/>
              </w:rPr>
              <w:t xml:space="preserve"> διακανονισμοί που δεν τηρήθηκαν,</w:t>
            </w:r>
          </w:p>
          <w:p w14:paraId="68311FEF" w14:textId="15273DA2" w:rsidR="00BD1FEE" w:rsidRPr="00BD1FEE" w:rsidRDefault="00BD1FEE" w:rsidP="00BD1FEE">
            <w:pPr>
              <w:jc w:val="both"/>
              <w:rPr>
                <w:rFonts w:ascii="Arial" w:hAnsi="Arial" w:cs="Arial"/>
              </w:rPr>
            </w:pPr>
            <w:r w:rsidRPr="00BD1FEE">
              <w:rPr>
                <w:rFonts w:ascii="Arial" w:hAnsi="Arial" w:cs="Arial"/>
              </w:rPr>
              <w:t xml:space="preserve">– Απαιτείται προκαταβολή </w:t>
            </w:r>
            <w:r>
              <w:rPr>
                <w:rFonts w:ascii="Arial" w:hAnsi="Arial" w:cs="Arial"/>
              </w:rPr>
              <w:t>20</w:t>
            </w:r>
            <w:r w:rsidRPr="00BD1FEE">
              <w:rPr>
                <w:rFonts w:ascii="Arial" w:hAnsi="Arial" w:cs="Arial"/>
              </w:rPr>
              <w:t>%</w:t>
            </w:r>
            <w:r>
              <w:t xml:space="preserve"> </w:t>
            </w:r>
            <w:r w:rsidRPr="00BD1FEE">
              <w:rPr>
                <w:rFonts w:ascii="Arial" w:hAnsi="Arial" w:cs="Arial"/>
              </w:rPr>
              <w:t>του ποσού των οφειλών που αφορούν οικι</w:t>
            </w:r>
            <w:r w:rsidR="00FC14D7">
              <w:rPr>
                <w:rFonts w:ascii="Arial" w:hAnsi="Arial" w:cs="Arial"/>
              </w:rPr>
              <w:t xml:space="preserve">ακό και κτηνοτροφικό τιμολόγιο </w:t>
            </w:r>
            <w:r w:rsidR="00FC14D7" w:rsidRPr="00FC14D7">
              <w:rPr>
                <w:rFonts w:ascii="Arial" w:hAnsi="Arial" w:cs="Arial"/>
              </w:rPr>
              <w:t xml:space="preserve">και </w:t>
            </w:r>
            <w:r w:rsidRPr="00BD1FEE">
              <w:rPr>
                <w:rFonts w:ascii="Arial" w:hAnsi="Arial" w:cs="Arial"/>
              </w:rPr>
              <w:t xml:space="preserve">το </w:t>
            </w:r>
            <w:r>
              <w:rPr>
                <w:rFonts w:ascii="Arial" w:hAnsi="Arial" w:cs="Arial"/>
              </w:rPr>
              <w:t xml:space="preserve">30 </w:t>
            </w:r>
            <w:r w:rsidRPr="00BD1FEE">
              <w:rPr>
                <w:rFonts w:ascii="Arial" w:hAnsi="Arial" w:cs="Arial"/>
              </w:rPr>
              <w:t>% του ποσού των οφειλών που αφορούν λοιπά τιμολόγια</w:t>
            </w:r>
            <w:r w:rsidR="00C84488" w:rsidRPr="00C84488">
              <w:rPr>
                <w:rFonts w:ascii="Arial" w:hAnsi="Arial" w:cs="Arial"/>
              </w:rPr>
              <w:t>.</w:t>
            </w:r>
            <w:r w:rsidR="00A141FC">
              <w:t xml:space="preserve"> </w:t>
            </w:r>
            <w:r w:rsidR="00A141FC" w:rsidRPr="000F42BB">
              <w:rPr>
                <w:rFonts w:ascii="Arial" w:hAnsi="Arial" w:cs="Arial"/>
                <w:b/>
              </w:rPr>
              <w:t>Εξαιρούνται οι δικαιούχοι κοινωνικού τιμολογίου.</w:t>
            </w:r>
          </w:p>
          <w:p w14:paraId="3FA300D8" w14:textId="0F0CFCF8" w:rsidR="00BD1FEE" w:rsidRPr="00BD1FEE" w:rsidRDefault="00C84488" w:rsidP="00BD1FEE">
            <w:pPr>
              <w:jc w:val="both"/>
              <w:rPr>
                <w:rFonts w:ascii="Arial" w:hAnsi="Arial" w:cs="Arial"/>
              </w:rPr>
            </w:pPr>
            <w:r w:rsidRPr="00C84488">
              <w:rPr>
                <w:rFonts w:ascii="Arial" w:hAnsi="Arial" w:cs="Arial"/>
                <w:b/>
                <w:bCs/>
              </w:rPr>
              <w:t xml:space="preserve">Γ. </w:t>
            </w:r>
            <w:r w:rsidR="00BD1FEE" w:rsidRPr="00BD1FEE">
              <w:rPr>
                <w:rFonts w:ascii="Arial" w:hAnsi="Arial" w:cs="Arial"/>
                <w:b/>
                <w:bCs/>
              </w:rPr>
              <w:t xml:space="preserve">Σε περίπτωση που έχουν προηγηθεί ήδη </w:t>
            </w:r>
            <w:r w:rsidR="00BD1FEE">
              <w:rPr>
                <w:rFonts w:ascii="Arial" w:hAnsi="Arial" w:cs="Arial"/>
                <w:b/>
                <w:bCs/>
              </w:rPr>
              <w:t>τέσσερις</w:t>
            </w:r>
            <w:r w:rsidR="00BD1FEE" w:rsidRPr="00BD1FEE">
              <w:rPr>
                <w:rFonts w:ascii="Arial" w:hAnsi="Arial" w:cs="Arial"/>
                <w:b/>
                <w:bCs/>
              </w:rPr>
              <w:t xml:space="preserve"> ή περισσότεροι διακανονισμοί που δεν τηρήθηκαν,</w:t>
            </w:r>
          </w:p>
          <w:p w14:paraId="6B644352" w14:textId="313B15F7" w:rsidR="00BD1FEE" w:rsidRDefault="00BD1FEE" w:rsidP="00BD1FEE">
            <w:pPr>
              <w:jc w:val="both"/>
              <w:rPr>
                <w:rFonts w:ascii="Arial" w:hAnsi="Arial" w:cs="Arial"/>
                <w:b/>
              </w:rPr>
            </w:pPr>
            <w:r w:rsidRPr="00BD1FEE">
              <w:rPr>
                <w:rFonts w:ascii="Arial" w:hAnsi="Arial" w:cs="Arial"/>
              </w:rPr>
              <w:t xml:space="preserve">– </w:t>
            </w:r>
            <w:r w:rsidR="00C84488" w:rsidRPr="00C84488">
              <w:rPr>
                <w:rFonts w:ascii="Arial" w:hAnsi="Arial" w:cs="Arial"/>
              </w:rPr>
              <w:t xml:space="preserve">Απαιτείται προκαταβολή </w:t>
            </w:r>
            <w:r w:rsidR="00C84488">
              <w:rPr>
                <w:rFonts w:ascii="Arial" w:hAnsi="Arial" w:cs="Arial"/>
              </w:rPr>
              <w:t>25</w:t>
            </w:r>
            <w:r w:rsidR="00C84488" w:rsidRPr="00C84488">
              <w:rPr>
                <w:rFonts w:ascii="Arial" w:hAnsi="Arial" w:cs="Arial"/>
              </w:rPr>
              <w:t>% του ποσού των οφειλών που αφορούν οικιακό και κτηνοτροφικό τιμολόγιο</w:t>
            </w:r>
            <w:r w:rsidR="00FC14D7">
              <w:t xml:space="preserve"> </w:t>
            </w:r>
            <w:r w:rsidR="00FC14D7" w:rsidRPr="00FC14D7">
              <w:rPr>
                <w:rFonts w:ascii="Arial" w:hAnsi="Arial" w:cs="Arial"/>
              </w:rPr>
              <w:t>και</w:t>
            </w:r>
            <w:r w:rsidR="00C84488" w:rsidRPr="00C84488">
              <w:rPr>
                <w:rFonts w:ascii="Arial" w:hAnsi="Arial" w:cs="Arial"/>
              </w:rPr>
              <w:t xml:space="preserve"> το </w:t>
            </w:r>
            <w:r w:rsidR="00C84488">
              <w:rPr>
                <w:rFonts w:ascii="Arial" w:hAnsi="Arial" w:cs="Arial"/>
              </w:rPr>
              <w:t>4</w:t>
            </w:r>
            <w:r w:rsidR="00C84488" w:rsidRPr="00C84488">
              <w:rPr>
                <w:rFonts w:ascii="Arial" w:hAnsi="Arial" w:cs="Arial"/>
              </w:rPr>
              <w:t xml:space="preserve">0 % του ποσού των οφειλών που αφορούν λοιπά τιμολόγια. </w:t>
            </w:r>
            <w:r w:rsidRPr="000F42BB">
              <w:rPr>
                <w:rFonts w:ascii="Arial" w:hAnsi="Arial" w:cs="Arial"/>
                <w:b/>
              </w:rPr>
              <w:t>Εξαιρούνται οι δικαιούχοι κοινωνικού τιμολογίου.</w:t>
            </w:r>
          </w:p>
          <w:p w14:paraId="68576AEF" w14:textId="310951B4" w:rsidR="008E4E16" w:rsidRDefault="000F42BB" w:rsidP="008E4E16">
            <w:pPr>
              <w:jc w:val="both"/>
              <w:rPr>
                <w:rFonts w:ascii="Arial" w:hAnsi="Arial" w:cs="Arial"/>
              </w:rPr>
            </w:pPr>
            <w:r w:rsidRPr="000F42BB">
              <w:rPr>
                <w:rFonts w:ascii="Arial" w:hAnsi="Arial" w:cs="Arial"/>
                <w:b/>
                <w:u w:val="single"/>
              </w:rPr>
              <w:t>Στον αριθμό των διακανονισμών που δεν τηρήθηκαν</w:t>
            </w:r>
            <w:r>
              <w:rPr>
                <w:rFonts w:ascii="Arial" w:hAnsi="Arial" w:cs="Arial"/>
                <w:b/>
                <w:u w:val="single"/>
              </w:rPr>
              <w:t xml:space="preserve">, σε όλες τις </w:t>
            </w:r>
            <w:r w:rsidR="0069740E">
              <w:rPr>
                <w:rFonts w:ascii="Arial" w:hAnsi="Arial" w:cs="Arial"/>
                <w:b/>
                <w:u w:val="single"/>
              </w:rPr>
              <w:t>περιπτώσεις</w:t>
            </w:r>
            <w:r>
              <w:rPr>
                <w:rFonts w:ascii="Arial" w:hAnsi="Arial" w:cs="Arial"/>
                <w:b/>
                <w:u w:val="single"/>
              </w:rPr>
              <w:t>,</w:t>
            </w:r>
            <w:r w:rsidRPr="000F42BB">
              <w:rPr>
                <w:rFonts w:ascii="Arial" w:hAnsi="Arial" w:cs="Arial"/>
                <w:b/>
                <w:u w:val="single"/>
              </w:rPr>
              <w:t xml:space="preserve"> δεν προσμετρούνται αυτοί που απωλέσθηκαν κατά το χρονικό διάστημα ισχύος των περιοριστικών μέτρων λόγω της πανδημίας του κορωνοϊού από τον  Μάρτιο 2020 έως τον Μάιο του 2021</w:t>
            </w:r>
            <w:r>
              <w:rPr>
                <w:rFonts w:ascii="Arial" w:hAnsi="Arial" w:cs="Arial"/>
              </w:rPr>
              <w:t>.</w:t>
            </w:r>
          </w:p>
          <w:p w14:paraId="417C58D3" w14:textId="77777777" w:rsidR="000F42BB" w:rsidRDefault="000F42BB" w:rsidP="008E4E16">
            <w:pPr>
              <w:jc w:val="both"/>
              <w:rPr>
                <w:rFonts w:ascii="Arial" w:hAnsi="Arial" w:cs="Arial"/>
              </w:rPr>
            </w:pPr>
          </w:p>
          <w:p w14:paraId="7CAE4443" w14:textId="50E3A362" w:rsidR="008E4E16" w:rsidRPr="007D56CD" w:rsidRDefault="008E4E16" w:rsidP="00D51B11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D56CD">
              <w:rPr>
                <w:rFonts w:ascii="Arial" w:hAnsi="Arial" w:cs="Arial"/>
                <w:b/>
                <w:u w:val="single"/>
              </w:rPr>
              <w:t>ΑΠΑΛΛΑΓΗ ΑΠΟ ΠΡΟΣΑΥΞΗΣΕΙΣ</w:t>
            </w:r>
            <w:r w:rsidR="000F42BB" w:rsidRPr="007D56CD">
              <w:rPr>
                <w:rFonts w:ascii="Arial" w:hAnsi="Arial" w:cs="Arial"/>
                <w:b/>
                <w:u w:val="single"/>
              </w:rPr>
              <w:t>-ΤΟΚΟΥΣ</w:t>
            </w:r>
          </w:p>
          <w:p w14:paraId="3C753FD8" w14:textId="77777777" w:rsidR="00D51B11" w:rsidRDefault="00D51B11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  <w:p w14:paraId="27096BFC" w14:textId="7DF85F84" w:rsidR="008E4E16" w:rsidRDefault="008E4E16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Αν τα ποσά εξοφληθούν </w:t>
            </w:r>
            <w:r w:rsidRPr="00844257">
              <w:rPr>
                <w:rFonts w:ascii="Arial" w:hAnsi="Arial" w:cs="Arial"/>
              </w:rPr>
              <w:t>εφάπαξ</w:t>
            </w:r>
            <w:r>
              <w:rPr>
                <w:rFonts w:ascii="Arial" w:hAnsi="Arial" w:cs="Arial"/>
              </w:rPr>
              <w:t>, με απαλλαγή κατά ποσοστό εκατό τοις εκατό (100%).</w:t>
            </w:r>
          </w:p>
          <w:p w14:paraId="2F807AAA" w14:textId="77777777" w:rsidR="008E4E16" w:rsidRPr="00844257" w:rsidRDefault="008E4E16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Αν τα ποσά εξοφληθούν σε </w:t>
            </w:r>
            <w:r w:rsidRPr="008442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844257">
              <w:rPr>
                <w:rFonts w:ascii="Arial" w:hAnsi="Arial" w:cs="Arial"/>
              </w:rPr>
              <w:t>δόσεις</w:t>
            </w:r>
            <w:r w:rsidRPr="007B29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 απαλλαγή κατά ποσοστό ενενήντα</w:t>
            </w:r>
            <w:r w:rsidRPr="00844257">
              <w:rPr>
                <w:rFonts w:ascii="Arial" w:hAnsi="Arial" w:cs="Arial"/>
              </w:rPr>
              <w:t xml:space="preserve"> </w:t>
            </w:r>
            <w:r w:rsidRPr="007B2915">
              <w:rPr>
                <w:rFonts w:ascii="Arial" w:hAnsi="Arial" w:cs="Arial"/>
              </w:rPr>
              <w:t>τοις εκατό</w:t>
            </w:r>
            <w:r>
              <w:rPr>
                <w:rFonts w:ascii="Arial" w:hAnsi="Arial" w:cs="Arial"/>
              </w:rPr>
              <w:t xml:space="preserve"> (90%).</w:t>
            </w:r>
          </w:p>
          <w:p w14:paraId="6EEE969C" w14:textId="77777777" w:rsidR="008E4E16" w:rsidRDefault="008E4E16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 w:rsidRPr="00364DA7">
              <w:rPr>
                <w:rFonts w:ascii="Arial" w:hAnsi="Arial" w:cs="Arial"/>
              </w:rPr>
              <w:t>3) Αν τα ποσά εξοφληθούν σε</w:t>
            </w:r>
            <w:r w:rsidRPr="00844257">
              <w:rPr>
                <w:rFonts w:ascii="Arial" w:hAnsi="Arial" w:cs="Arial"/>
              </w:rPr>
              <w:t xml:space="preserve"> 3 έως 5 δόσεις</w:t>
            </w:r>
            <w:r>
              <w:rPr>
                <w:rFonts w:ascii="Arial" w:hAnsi="Arial" w:cs="Arial"/>
              </w:rPr>
              <w:t>, με απαλλαγή κατά ποσοστό  ογδόντα τοις εκατό (80%).</w:t>
            </w:r>
          </w:p>
          <w:p w14:paraId="5214CA1E" w14:textId="568D3EDD" w:rsidR="008E4E16" w:rsidRDefault="005E33CB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E4E16">
              <w:rPr>
                <w:rFonts w:ascii="Arial" w:hAnsi="Arial" w:cs="Arial"/>
              </w:rPr>
              <w:t xml:space="preserve">) Αν τα ποσά εξοφληθούν σε </w:t>
            </w:r>
            <w:r w:rsidR="008E4E16" w:rsidRPr="00844257">
              <w:rPr>
                <w:rFonts w:ascii="Arial" w:hAnsi="Arial" w:cs="Arial"/>
              </w:rPr>
              <w:t>6 έως 12 δόσεις</w:t>
            </w:r>
            <w:r w:rsidR="008E4E16">
              <w:rPr>
                <w:rFonts w:ascii="Arial" w:hAnsi="Arial" w:cs="Arial"/>
              </w:rPr>
              <w:t>, με απαλλαγή κατά ποσοστό πενήντα τοις εκατό (50%).</w:t>
            </w:r>
          </w:p>
          <w:p w14:paraId="029ACD06" w14:textId="6FF72BF2" w:rsidR="008E4E16" w:rsidRDefault="005E33CB" w:rsidP="008E4E16">
            <w:pPr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E4E16">
              <w:rPr>
                <w:rFonts w:ascii="Arial" w:hAnsi="Arial" w:cs="Arial"/>
              </w:rPr>
              <w:t xml:space="preserve">) Αν τα ποσά εξοφληθούν σε </w:t>
            </w:r>
            <w:r w:rsidR="008E4E16" w:rsidRPr="00844257">
              <w:rPr>
                <w:rFonts w:ascii="Arial" w:hAnsi="Arial" w:cs="Arial"/>
              </w:rPr>
              <w:t>13 έως 20 δόσεις</w:t>
            </w:r>
            <w:r w:rsidR="008E4E16">
              <w:rPr>
                <w:rFonts w:ascii="Arial" w:hAnsi="Arial" w:cs="Arial"/>
              </w:rPr>
              <w:t>, με απαλλαγή κατά ποσοστό ο δέκα τοις εκατό (10%).</w:t>
            </w:r>
          </w:p>
          <w:p w14:paraId="07B816C8" w14:textId="77777777" w:rsidR="008E4E16" w:rsidRPr="00844257" w:rsidRDefault="008E4E16" w:rsidP="008E4E16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017A7FE" w14:textId="0D6AF816" w:rsidR="00C84488" w:rsidRPr="00C84488" w:rsidRDefault="00D51B11" w:rsidP="00D51B1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ΓΙΑ ΔΙΚΑΙΟΥΧΟΥΣ ΚΟΙΝΩΝΙΚΩΝ ΤΙΜΟΛΟΓΙΩΝ</w:t>
            </w:r>
            <w:r w:rsidR="00C84488" w:rsidRPr="00C84488">
              <w:rPr>
                <w:rFonts w:ascii="Arial" w:hAnsi="Arial" w:cs="Arial"/>
                <w:b/>
                <w:u w:val="single"/>
              </w:rPr>
              <w:t>:</w:t>
            </w:r>
          </w:p>
          <w:p w14:paraId="6694891F" w14:textId="77777777" w:rsidR="00C84488" w:rsidRPr="00C84488" w:rsidRDefault="00C84488" w:rsidP="00C84488">
            <w:pPr>
              <w:jc w:val="both"/>
              <w:rPr>
                <w:rFonts w:ascii="Arial" w:hAnsi="Arial" w:cs="Arial"/>
              </w:rPr>
            </w:pPr>
          </w:p>
          <w:p w14:paraId="6B5D5FE6" w14:textId="37FAE651" w:rsidR="00C84488" w:rsidRPr="00C84488" w:rsidRDefault="00C84488" w:rsidP="00D51B11">
            <w:pPr>
              <w:pStyle w:val="aa"/>
              <w:numPr>
                <w:ilvl w:val="0"/>
                <w:numId w:val="4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" w:hAnsi="Arial" w:cs="Arial"/>
              </w:rPr>
            </w:pPr>
            <w:r w:rsidRPr="00C84488">
              <w:rPr>
                <w:rFonts w:ascii="Arial" w:hAnsi="Arial" w:cs="Arial"/>
              </w:rPr>
              <w:t>Δυνατότητα διακανονισμού σε δόσεις για όσους έχουν οφειλές άνω των 40 ευρώ.</w:t>
            </w:r>
          </w:p>
          <w:p w14:paraId="7834DB22" w14:textId="28539FD7" w:rsidR="00C84488" w:rsidRPr="00C84488" w:rsidRDefault="00C84488" w:rsidP="00D51B11">
            <w:pPr>
              <w:pStyle w:val="aa"/>
              <w:numPr>
                <w:ilvl w:val="0"/>
                <w:numId w:val="4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" w:hAnsi="Arial" w:cs="Arial"/>
              </w:rPr>
            </w:pPr>
            <w:r w:rsidRPr="00C84488">
              <w:rPr>
                <w:rFonts w:ascii="Arial" w:hAnsi="Arial" w:cs="Arial"/>
              </w:rPr>
              <w:t>Ελάχιστη δόση στο ποσό των 20 ευρώ με ανώτατο όριο δόσεων τις 72.</w:t>
            </w:r>
          </w:p>
          <w:p w14:paraId="1EC7ACCD" w14:textId="2E03C012" w:rsidR="00C84488" w:rsidRDefault="00C84488" w:rsidP="00D51B11">
            <w:pPr>
              <w:pStyle w:val="aa"/>
              <w:numPr>
                <w:ilvl w:val="0"/>
                <w:numId w:val="4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" w:hAnsi="Arial" w:cs="Arial"/>
              </w:rPr>
            </w:pPr>
            <w:r w:rsidRPr="00C84488">
              <w:rPr>
                <w:rFonts w:ascii="Arial" w:hAnsi="Arial" w:cs="Arial"/>
              </w:rPr>
              <w:t xml:space="preserve">Απαλλαγή από το σύνολο των </w:t>
            </w:r>
            <w:r w:rsidR="001544F8">
              <w:rPr>
                <w:rFonts w:ascii="Arial" w:hAnsi="Arial" w:cs="Arial"/>
              </w:rPr>
              <w:t>προσαυξήσεων</w:t>
            </w:r>
            <w:r w:rsidRPr="00C84488">
              <w:rPr>
                <w:rFonts w:ascii="Arial" w:hAnsi="Arial" w:cs="Arial"/>
              </w:rPr>
              <w:t>.</w:t>
            </w:r>
          </w:p>
          <w:p w14:paraId="36FE1B5A" w14:textId="6DA4577F" w:rsidR="00A141FC" w:rsidRPr="00C84488" w:rsidRDefault="00A141FC" w:rsidP="00D51B11">
            <w:pPr>
              <w:pStyle w:val="aa"/>
              <w:numPr>
                <w:ilvl w:val="0"/>
                <w:numId w:val="46"/>
              </w:num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Προκαταβολή 10% </w:t>
            </w:r>
            <w:r w:rsidRPr="00A141FC">
              <w:rPr>
                <w:rFonts w:ascii="Arial" w:hAnsi="Arial" w:cs="Arial"/>
              </w:rPr>
              <w:t>του ποσού των οφειλών</w:t>
            </w:r>
            <w:r>
              <w:rPr>
                <w:rFonts w:ascii="Arial" w:hAnsi="Arial" w:cs="Arial"/>
              </w:rPr>
              <w:t>.</w:t>
            </w:r>
            <w:r>
              <w:t xml:space="preserve"> </w:t>
            </w:r>
            <w:r w:rsidRPr="00A141FC">
              <w:rPr>
                <w:rFonts w:ascii="Arial" w:hAnsi="Arial" w:cs="Arial"/>
              </w:rPr>
              <w:t xml:space="preserve">Εάν </w:t>
            </w:r>
            <w:r>
              <w:rPr>
                <w:rFonts w:ascii="Arial" w:hAnsi="Arial" w:cs="Arial"/>
              </w:rPr>
              <w:t xml:space="preserve">η </w:t>
            </w:r>
            <w:r w:rsidRPr="00A141FC">
              <w:rPr>
                <w:rFonts w:ascii="Arial" w:hAnsi="Arial" w:cs="Arial"/>
              </w:rPr>
              <w:t xml:space="preserve">προηγούμενη ρύθμιση είχε </w:t>
            </w:r>
            <w:proofErr w:type="spellStart"/>
            <w:r w:rsidRPr="00A141FC">
              <w:rPr>
                <w:rFonts w:ascii="Arial" w:hAnsi="Arial" w:cs="Arial"/>
              </w:rPr>
              <w:t>απωλεσθεί</w:t>
            </w:r>
            <w:proofErr w:type="spellEnd"/>
            <w:r w:rsidRPr="00A141FC">
              <w:rPr>
                <w:rFonts w:ascii="Arial" w:hAnsi="Arial" w:cs="Arial"/>
              </w:rPr>
              <w:t xml:space="preserve"> κατά το χρονικό διάστημα από Μάρτιο 2020 έως Μάιο του 2021 χωρίς την καταβολή προκαταβολής (λόγω κορωνοϊού)</w:t>
            </w:r>
          </w:p>
          <w:p w14:paraId="14CCD491" w14:textId="77777777" w:rsidR="00C84488" w:rsidRDefault="00C84488" w:rsidP="008E4E16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14:paraId="1D50DD87" w14:textId="77777777" w:rsidR="00C84488" w:rsidRDefault="00C84488" w:rsidP="008E4E16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</w:p>
          <w:p w14:paraId="3C4EA198" w14:textId="1123967C" w:rsidR="008E4E16" w:rsidRPr="007D56CD" w:rsidRDefault="00F2294D" w:rsidP="007D56CD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u w:val="single"/>
              </w:rPr>
            </w:pPr>
            <w:r w:rsidRPr="007D56CD">
              <w:rPr>
                <w:rFonts w:ascii="Arial" w:hAnsi="Arial" w:cs="Arial"/>
                <w:b/>
                <w:u w:val="single"/>
              </w:rPr>
              <w:t>ΕΠΙΣΗΜΑΝΣΕΙΣ</w:t>
            </w:r>
          </w:p>
          <w:p w14:paraId="2F9A11C3" w14:textId="77777777" w:rsidR="008E4E16" w:rsidRPr="00844257" w:rsidRDefault="008E4E16" w:rsidP="008E4E16">
            <w:pPr>
              <w:pStyle w:val="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14:paraId="44A83052" w14:textId="24CB4542" w:rsidR="008E4E16" w:rsidRPr="00FC14D7" w:rsidRDefault="008E4E16" w:rsidP="008E4E16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Με την υπαγωγή στη ρύθμιση </w:t>
            </w:r>
            <w:r w:rsidRPr="00FC14D7">
              <w:rPr>
                <w:rFonts w:ascii="Arial" w:hAnsi="Arial" w:cs="Arial"/>
                <w:b/>
              </w:rPr>
              <w:t xml:space="preserve">πληρώνεται και η </w:t>
            </w:r>
            <w:r w:rsidR="002549EE" w:rsidRPr="00FC14D7">
              <w:rPr>
                <w:rFonts w:ascii="Arial" w:hAnsi="Arial" w:cs="Arial"/>
                <w:b/>
              </w:rPr>
              <w:t>πρώτη</w:t>
            </w:r>
            <w:r w:rsidRPr="00FC14D7">
              <w:rPr>
                <w:rFonts w:ascii="Arial" w:hAnsi="Arial" w:cs="Arial"/>
                <w:b/>
              </w:rPr>
              <w:t xml:space="preserve"> δόση και </w:t>
            </w:r>
            <w:r w:rsidR="00C84488" w:rsidRPr="00FC14D7">
              <w:rPr>
                <w:rFonts w:ascii="Arial" w:hAnsi="Arial" w:cs="Arial"/>
                <w:b/>
              </w:rPr>
              <w:t>η προκαταβολή κατά περίπτωση</w:t>
            </w:r>
          </w:p>
          <w:p w14:paraId="03528266" w14:textId="46446FFA" w:rsidR="008E4E16" w:rsidRDefault="008E4E16" w:rsidP="008E4E16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δόσεις είναι </w:t>
            </w:r>
            <w:r w:rsidRPr="00FC14D7">
              <w:rPr>
                <w:rFonts w:ascii="Arial" w:hAnsi="Arial" w:cs="Arial"/>
                <w:b/>
              </w:rPr>
              <w:t>μηνιαίες</w:t>
            </w:r>
            <w:r w:rsidR="00FC14D7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0F6136E9" w14:textId="4017F75F" w:rsidR="008E4E16" w:rsidRDefault="008E4E16" w:rsidP="008E4E16">
            <w:pPr>
              <w:pStyle w:val="Web"/>
              <w:numPr>
                <w:ilvl w:val="0"/>
                <w:numId w:val="45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 καθυστέρηση καταβολής δόσης συνεπάγεται την επιβάρυνση αυτής με μηνιαία </w:t>
            </w:r>
            <w:r w:rsidRPr="00FC14D7">
              <w:rPr>
                <w:rFonts w:ascii="Arial" w:hAnsi="Arial" w:cs="Arial"/>
                <w:b/>
              </w:rPr>
              <w:t>προσαύξηση 2%</w:t>
            </w:r>
            <w:r>
              <w:rPr>
                <w:rFonts w:ascii="Arial" w:hAnsi="Arial" w:cs="Arial"/>
              </w:rPr>
              <w:t xml:space="preserve"> επί του ποσού της δόσης από την επομένη της ημέρας που όφειλε αυτή να καταβληθεί.</w:t>
            </w:r>
          </w:p>
          <w:p w14:paraId="5450A570" w14:textId="04CC71AA" w:rsidR="00844257" w:rsidRDefault="00844257" w:rsidP="00C84488">
            <w:pPr>
              <w:pStyle w:val="aa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844257">
              <w:rPr>
                <w:rFonts w:ascii="Arial" w:hAnsi="Arial" w:cs="Arial"/>
              </w:rPr>
              <w:t xml:space="preserve">Εάν ο οφειλέτης </w:t>
            </w:r>
            <w:r w:rsidRPr="00FD78C8">
              <w:rPr>
                <w:rFonts w:ascii="Arial" w:hAnsi="Arial" w:cs="Arial"/>
                <w:b/>
              </w:rPr>
              <w:t xml:space="preserve">δεν καταβάλλει δύο (2) συνεχόμενες δόσεις ή καθυστερήσει την καταβολή της τελευταίας δόσης για χρονικό διάστημα μεγαλύτερο των δύο (2) μηνών </w:t>
            </w:r>
            <w:r w:rsidR="00C84488" w:rsidRPr="000F42BB">
              <w:rPr>
                <w:rFonts w:ascii="Arial" w:hAnsi="Arial" w:cs="Arial"/>
                <w:b/>
              </w:rPr>
              <w:t xml:space="preserve">ή μη πληρωμής του τρέχοντος </w:t>
            </w:r>
            <w:r w:rsidR="00A141FC" w:rsidRPr="000F42BB">
              <w:rPr>
                <w:rFonts w:ascii="Arial" w:hAnsi="Arial" w:cs="Arial"/>
                <w:b/>
              </w:rPr>
              <w:t xml:space="preserve">- </w:t>
            </w:r>
            <w:r w:rsidR="00C84488" w:rsidRPr="000F42BB">
              <w:rPr>
                <w:rFonts w:ascii="Arial" w:hAnsi="Arial" w:cs="Arial"/>
                <w:b/>
              </w:rPr>
              <w:t>μετά το διακανονισμό λογαριασμού</w:t>
            </w:r>
            <w:r w:rsidR="00A141FC" w:rsidRPr="000F42BB">
              <w:rPr>
                <w:rFonts w:ascii="Arial" w:hAnsi="Arial" w:cs="Arial"/>
                <w:b/>
              </w:rPr>
              <w:t xml:space="preserve">- </w:t>
            </w:r>
            <w:r w:rsidR="00C84488" w:rsidRPr="000F42BB">
              <w:rPr>
                <w:rFonts w:ascii="Arial" w:hAnsi="Arial" w:cs="Arial"/>
                <w:b/>
              </w:rPr>
              <w:t xml:space="preserve"> </w:t>
            </w:r>
            <w:r w:rsidRPr="00FD78C8">
              <w:rPr>
                <w:rFonts w:ascii="Arial" w:hAnsi="Arial" w:cs="Arial"/>
                <w:b/>
              </w:rPr>
              <w:t xml:space="preserve">τότε </w:t>
            </w:r>
            <w:r w:rsidR="00C84488" w:rsidRPr="00C84488">
              <w:rPr>
                <w:rFonts w:ascii="Arial" w:hAnsi="Arial" w:cs="Arial"/>
              </w:rPr>
              <w:t xml:space="preserve">ακυρώνεται ο διακανονισμός, </w:t>
            </w:r>
          </w:p>
          <w:p w14:paraId="4FF7994A" w14:textId="77777777" w:rsidR="00A141FC" w:rsidRDefault="00A141FC" w:rsidP="00A141FC">
            <w:pPr>
              <w:ind w:left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Με την κατάργηση του διακανονισμού</w:t>
            </w:r>
            <w:r w:rsidR="005A786D" w:rsidRPr="005A786D">
              <w:rPr>
                <w:rFonts w:ascii="Arial" w:hAnsi="Arial" w:cs="Arial"/>
              </w:rPr>
              <w:t xml:space="preserve"> </w:t>
            </w:r>
            <w:r w:rsidRPr="00A141FC">
              <w:rPr>
                <w:rFonts w:ascii="Arial" w:hAnsi="Arial" w:cs="Arial"/>
              </w:rPr>
              <w:t xml:space="preserve">επανέρχονται οι τόκοι υπερημερίας, εφόσον είχαν αφαιρεθεί και η ΔΕΥΑΒ δύναται να </w:t>
            </w:r>
            <w:r>
              <w:rPr>
                <w:rFonts w:ascii="Arial" w:hAnsi="Arial" w:cs="Arial"/>
              </w:rPr>
              <w:t xml:space="preserve">κάνει απαιτητή </w:t>
            </w:r>
            <w:r w:rsidR="005A786D" w:rsidRPr="005A786D">
              <w:rPr>
                <w:rFonts w:ascii="Arial" w:hAnsi="Arial" w:cs="Arial"/>
              </w:rPr>
              <w:t xml:space="preserve">την άμεση καταβολή του υπολοίπου της οφειλής, σύμφωνα με τα στοιχεία της αρχικής βεβαίωσης και την άμεση επιδίωξη της είσπραξής του με όλα τα προβλεπόμενα από την ισχύουσα νομοθεσία </w:t>
            </w:r>
            <w:r w:rsidR="005A786D">
              <w:rPr>
                <w:rFonts w:ascii="Arial" w:hAnsi="Arial" w:cs="Arial"/>
              </w:rPr>
              <w:t xml:space="preserve">και αποφάσεις της ΔΕΥΑΒ </w:t>
            </w:r>
            <w:r>
              <w:rPr>
                <w:rFonts w:ascii="Arial" w:hAnsi="Arial" w:cs="Arial"/>
              </w:rPr>
              <w:t>μέτρα.</w:t>
            </w:r>
          </w:p>
          <w:p w14:paraId="5084FA02" w14:textId="77777777" w:rsidR="009A666D" w:rsidRPr="00844257" w:rsidRDefault="009A666D" w:rsidP="007D56CD">
            <w:pPr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14:paraId="6B19A92C" w14:textId="77777777" w:rsidR="00EF464B" w:rsidRDefault="00EF464B" w:rsidP="001358E4">
      <w:pPr>
        <w:jc w:val="both"/>
        <w:rPr>
          <w:rFonts w:ascii="Arial" w:hAnsi="Arial" w:cs="Arial"/>
          <w:color w:val="000000"/>
          <w:szCs w:val="28"/>
        </w:rPr>
      </w:pPr>
    </w:p>
    <w:p w14:paraId="4ECC819F" w14:textId="607F397D" w:rsidR="008A6788" w:rsidRPr="006001B1" w:rsidRDefault="008A6788" w:rsidP="001358E4">
      <w:pPr>
        <w:jc w:val="both"/>
        <w:rPr>
          <w:rFonts w:ascii="Arial" w:hAnsi="Arial" w:cs="Arial"/>
          <w:color w:val="000000"/>
          <w:szCs w:val="28"/>
        </w:rPr>
      </w:pPr>
    </w:p>
    <w:sectPr w:rsidR="008A6788" w:rsidRPr="006001B1" w:rsidSect="003168DF">
      <w:footerReference w:type="even" r:id="rId10"/>
      <w:footerReference w:type="default" r:id="rId11"/>
      <w:pgSz w:w="11906" w:h="16838"/>
      <w:pgMar w:top="1134" w:right="924" w:bottom="851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1C9EE" w14:textId="77777777" w:rsidR="00D51B11" w:rsidRDefault="00D51B11">
      <w:r>
        <w:separator/>
      </w:r>
    </w:p>
  </w:endnote>
  <w:endnote w:type="continuationSeparator" w:id="0">
    <w:p w14:paraId="4727852C" w14:textId="77777777" w:rsidR="00D51B11" w:rsidRDefault="00D5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D92DE" w14:textId="77777777" w:rsidR="00D51B11" w:rsidRDefault="00D51B11" w:rsidP="00107D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083E38" w14:textId="77777777" w:rsidR="00D51B11" w:rsidRDefault="00D51B11" w:rsidP="00446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742E" w14:textId="364971F7" w:rsidR="00D51B11" w:rsidRDefault="00D51B11" w:rsidP="00107DC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6EA5">
      <w:rPr>
        <w:rStyle w:val="a8"/>
        <w:noProof/>
      </w:rPr>
      <w:t>2</w:t>
    </w:r>
    <w:r>
      <w:rPr>
        <w:rStyle w:val="a8"/>
      </w:rPr>
      <w:fldChar w:fldCharType="end"/>
    </w:r>
  </w:p>
  <w:p w14:paraId="10B7F2BD" w14:textId="77777777" w:rsidR="00D51B11" w:rsidRDefault="00D51B11" w:rsidP="004469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11932" w14:textId="77777777" w:rsidR="00D51B11" w:rsidRDefault="00D51B11">
      <w:r>
        <w:separator/>
      </w:r>
    </w:p>
  </w:footnote>
  <w:footnote w:type="continuationSeparator" w:id="0">
    <w:p w14:paraId="7807221A" w14:textId="77777777" w:rsidR="00D51B11" w:rsidRDefault="00D51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5A"/>
    <w:multiLevelType w:val="hybridMultilevel"/>
    <w:tmpl w:val="A54002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D77"/>
    <w:multiLevelType w:val="hybridMultilevel"/>
    <w:tmpl w:val="AF84112A"/>
    <w:lvl w:ilvl="0" w:tplc="0408000F">
      <w:start w:val="1"/>
      <w:numFmt w:val="decimal"/>
      <w:lvlText w:val="%1."/>
      <w:lvlJc w:val="left"/>
      <w:pPr>
        <w:ind w:left="603" w:hanging="360"/>
      </w:pPr>
    </w:lvl>
    <w:lvl w:ilvl="1" w:tplc="04080019">
      <w:start w:val="1"/>
      <w:numFmt w:val="lowerLetter"/>
      <w:lvlText w:val="%2."/>
      <w:lvlJc w:val="left"/>
      <w:pPr>
        <w:ind w:left="1323" w:hanging="360"/>
      </w:pPr>
    </w:lvl>
    <w:lvl w:ilvl="2" w:tplc="0408001B">
      <w:start w:val="1"/>
      <w:numFmt w:val="lowerRoman"/>
      <w:lvlText w:val="%3."/>
      <w:lvlJc w:val="right"/>
      <w:pPr>
        <w:ind w:left="2043" w:hanging="180"/>
      </w:pPr>
    </w:lvl>
    <w:lvl w:ilvl="3" w:tplc="0408000F">
      <w:start w:val="1"/>
      <w:numFmt w:val="decimal"/>
      <w:lvlText w:val="%4."/>
      <w:lvlJc w:val="left"/>
      <w:pPr>
        <w:ind w:left="2763" w:hanging="360"/>
      </w:pPr>
    </w:lvl>
    <w:lvl w:ilvl="4" w:tplc="04080019">
      <w:start w:val="1"/>
      <w:numFmt w:val="lowerLetter"/>
      <w:lvlText w:val="%5."/>
      <w:lvlJc w:val="left"/>
      <w:pPr>
        <w:ind w:left="3483" w:hanging="360"/>
      </w:pPr>
    </w:lvl>
    <w:lvl w:ilvl="5" w:tplc="0408001B">
      <w:start w:val="1"/>
      <w:numFmt w:val="lowerRoman"/>
      <w:lvlText w:val="%6."/>
      <w:lvlJc w:val="right"/>
      <w:pPr>
        <w:ind w:left="4203" w:hanging="180"/>
      </w:pPr>
    </w:lvl>
    <w:lvl w:ilvl="6" w:tplc="0408000F">
      <w:start w:val="1"/>
      <w:numFmt w:val="decimal"/>
      <w:lvlText w:val="%7."/>
      <w:lvlJc w:val="left"/>
      <w:pPr>
        <w:ind w:left="4923" w:hanging="360"/>
      </w:pPr>
    </w:lvl>
    <w:lvl w:ilvl="7" w:tplc="04080019">
      <w:start w:val="1"/>
      <w:numFmt w:val="lowerLetter"/>
      <w:lvlText w:val="%8."/>
      <w:lvlJc w:val="left"/>
      <w:pPr>
        <w:ind w:left="5643" w:hanging="360"/>
      </w:pPr>
    </w:lvl>
    <w:lvl w:ilvl="8" w:tplc="0408001B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06883C69"/>
    <w:multiLevelType w:val="hybridMultilevel"/>
    <w:tmpl w:val="307C79D0"/>
    <w:lvl w:ilvl="0" w:tplc="159E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7616D5"/>
    <w:multiLevelType w:val="hybridMultilevel"/>
    <w:tmpl w:val="4B8C965E"/>
    <w:lvl w:ilvl="0" w:tplc="4D2CE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2932F6"/>
    <w:multiLevelType w:val="hybridMultilevel"/>
    <w:tmpl w:val="82E85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39D0"/>
    <w:multiLevelType w:val="hybridMultilevel"/>
    <w:tmpl w:val="E4E25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918E9"/>
    <w:multiLevelType w:val="hybridMultilevel"/>
    <w:tmpl w:val="B30428AE"/>
    <w:lvl w:ilvl="0" w:tplc="FDB8478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118B"/>
    <w:multiLevelType w:val="hybridMultilevel"/>
    <w:tmpl w:val="65527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732481"/>
    <w:multiLevelType w:val="hybridMultilevel"/>
    <w:tmpl w:val="062C1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E2915"/>
    <w:multiLevelType w:val="hybridMultilevel"/>
    <w:tmpl w:val="6B2E1C2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FE421BC"/>
    <w:multiLevelType w:val="hybridMultilevel"/>
    <w:tmpl w:val="624C9A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6983"/>
    <w:multiLevelType w:val="hybridMultilevel"/>
    <w:tmpl w:val="39BC4AF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76C30"/>
    <w:multiLevelType w:val="hybridMultilevel"/>
    <w:tmpl w:val="6AA00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02123"/>
    <w:multiLevelType w:val="hybridMultilevel"/>
    <w:tmpl w:val="7992554A"/>
    <w:lvl w:ilvl="0" w:tplc="3FEC8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329BC"/>
    <w:multiLevelType w:val="hybridMultilevel"/>
    <w:tmpl w:val="8D186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16C6E"/>
    <w:multiLevelType w:val="hybridMultilevel"/>
    <w:tmpl w:val="32E267CE"/>
    <w:lvl w:ilvl="0" w:tplc="B7CED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273A6"/>
    <w:multiLevelType w:val="hybridMultilevel"/>
    <w:tmpl w:val="FB6AACE4"/>
    <w:lvl w:ilvl="0" w:tplc="FB94E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C3CCD"/>
    <w:multiLevelType w:val="hybridMultilevel"/>
    <w:tmpl w:val="7B7CC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B2ED0"/>
    <w:multiLevelType w:val="hybridMultilevel"/>
    <w:tmpl w:val="1702FFA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C44DC9"/>
    <w:multiLevelType w:val="hybridMultilevel"/>
    <w:tmpl w:val="2960D630"/>
    <w:lvl w:ilvl="0" w:tplc="97F4E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F54A1"/>
    <w:multiLevelType w:val="hybridMultilevel"/>
    <w:tmpl w:val="5F804A2C"/>
    <w:lvl w:ilvl="0" w:tplc="07FE1524">
      <w:start w:val="3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1">
    <w:nsid w:val="3A9521F0"/>
    <w:multiLevelType w:val="hybridMultilevel"/>
    <w:tmpl w:val="E4E25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A366E3"/>
    <w:multiLevelType w:val="hybridMultilevel"/>
    <w:tmpl w:val="9CEEDDE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6B2A17"/>
    <w:multiLevelType w:val="hybridMultilevel"/>
    <w:tmpl w:val="E904E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33EAB"/>
    <w:multiLevelType w:val="hybridMultilevel"/>
    <w:tmpl w:val="C44661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C425D1"/>
    <w:multiLevelType w:val="hybridMultilevel"/>
    <w:tmpl w:val="FCBC75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D6031"/>
    <w:multiLevelType w:val="hybridMultilevel"/>
    <w:tmpl w:val="107E31EC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C47062B"/>
    <w:multiLevelType w:val="hybridMultilevel"/>
    <w:tmpl w:val="B4A6B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B2804"/>
    <w:multiLevelType w:val="hybridMultilevel"/>
    <w:tmpl w:val="A874EC60"/>
    <w:lvl w:ilvl="0" w:tplc="0408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9">
    <w:nsid w:val="4FBC247C"/>
    <w:multiLevelType w:val="hybridMultilevel"/>
    <w:tmpl w:val="65527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FB6FF3"/>
    <w:multiLevelType w:val="hybridMultilevel"/>
    <w:tmpl w:val="230611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867829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53A4010A"/>
    <w:multiLevelType w:val="hybridMultilevel"/>
    <w:tmpl w:val="99781D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A59A6"/>
    <w:multiLevelType w:val="hybridMultilevel"/>
    <w:tmpl w:val="62EEB6DA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4">
    <w:nsid w:val="5AD85761"/>
    <w:multiLevelType w:val="hybridMultilevel"/>
    <w:tmpl w:val="C1660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60F0D"/>
    <w:multiLevelType w:val="hybridMultilevel"/>
    <w:tmpl w:val="65527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DB1182"/>
    <w:multiLevelType w:val="hybridMultilevel"/>
    <w:tmpl w:val="CB7030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000F50"/>
    <w:multiLevelType w:val="hybridMultilevel"/>
    <w:tmpl w:val="58E25F40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63D810E2"/>
    <w:multiLevelType w:val="hybridMultilevel"/>
    <w:tmpl w:val="65527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100C75"/>
    <w:multiLevelType w:val="hybridMultilevel"/>
    <w:tmpl w:val="279A91D8"/>
    <w:lvl w:ilvl="0" w:tplc="3B1065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00AB2"/>
    <w:multiLevelType w:val="hybridMultilevel"/>
    <w:tmpl w:val="65527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3A4092"/>
    <w:multiLevelType w:val="hybridMultilevel"/>
    <w:tmpl w:val="1DC80BC0"/>
    <w:lvl w:ilvl="0" w:tplc="C3E24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37CEB"/>
    <w:multiLevelType w:val="hybridMultilevel"/>
    <w:tmpl w:val="2F30C658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F011030"/>
    <w:multiLevelType w:val="hybridMultilevel"/>
    <w:tmpl w:val="49360B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1"/>
  </w:num>
  <w:num w:numId="4">
    <w:abstractNumId w:val="25"/>
  </w:num>
  <w:num w:numId="5">
    <w:abstractNumId w:val="22"/>
  </w:num>
  <w:num w:numId="6">
    <w:abstractNumId w:val="18"/>
  </w:num>
  <w:num w:numId="7">
    <w:abstractNumId w:val="36"/>
  </w:num>
  <w:num w:numId="8">
    <w:abstractNumId w:val="28"/>
  </w:num>
  <w:num w:numId="9">
    <w:abstractNumId w:val="33"/>
  </w:num>
  <w:num w:numId="10">
    <w:abstractNumId w:val="19"/>
  </w:num>
  <w:num w:numId="11">
    <w:abstractNumId w:val="5"/>
  </w:num>
  <w:num w:numId="12">
    <w:abstractNumId w:val="30"/>
  </w:num>
  <w:num w:numId="13">
    <w:abstractNumId w:val="13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9"/>
  </w:num>
  <w:num w:numId="23">
    <w:abstractNumId w:val="26"/>
  </w:num>
  <w:num w:numId="24">
    <w:abstractNumId w:val="4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7"/>
  </w:num>
  <w:num w:numId="32">
    <w:abstractNumId w:val="42"/>
  </w:num>
  <w:num w:numId="33">
    <w:abstractNumId w:val="4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5"/>
  </w:num>
  <w:num w:numId="37">
    <w:abstractNumId w:val="7"/>
  </w:num>
  <w:num w:numId="38">
    <w:abstractNumId w:val="23"/>
  </w:num>
  <w:num w:numId="39">
    <w:abstractNumId w:val="34"/>
  </w:num>
  <w:num w:numId="40">
    <w:abstractNumId w:val="27"/>
  </w:num>
  <w:num w:numId="41">
    <w:abstractNumId w:val="43"/>
  </w:num>
  <w:num w:numId="42">
    <w:abstractNumId w:val="3"/>
  </w:num>
  <w:num w:numId="43">
    <w:abstractNumId w:val="9"/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FC"/>
    <w:rsid w:val="00004422"/>
    <w:rsid w:val="000062A7"/>
    <w:rsid w:val="000069C2"/>
    <w:rsid w:val="00011DAE"/>
    <w:rsid w:val="00011FE6"/>
    <w:rsid w:val="00014401"/>
    <w:rsid w:val="0001678F"/>
    <w:rsid w:val="00021FE1"/>
    <w:rsid w:val="0002431B"/>
    <w:rsid w:val="00024655"/>
    <w:rsid w:val="0002517D"/>
    <w:rsid w:val="00032C56"/>
    <w:rsid w:val="000337C6"/>
    <w:rsid w:val="00034A21"/>
    <w:rsid w:val="00035147"/>
    <w:rsid w:val="0004587C"/>
    <w:rsid w:val="00047B9A"/>
    <w:rsid w:val="000630B0"/>
    <w:rsid w:val="00064F5D"/>
    <w:rsid w:val="0006665A"/>
    <w:rsid w:val="000709D4"/>
    <w:rsid w:val="00070A1A"/>
    <w:rsid w:val="00072D23"/>
    <w:rsid w:val="000818D2"/>
    <w:rsid w:val="00081C54"/>
    <w:rsid w:val="000867F8"/>
    <w:rsid w:val="00086DE8"/>
    <w:rsid w:val="0008794F"/>
    <w:rsid w:val="00090D9C"/>
    <w:rsid w:val="0009161B"/>
    <w:rsid w:val="00091AFB"/>
    <w:rsid w:val="000A0D57"/>
    <w:rsid w:val="000A138F"/>
    <w:rsid w:val="000A3F49"/>
    <w:rsid w:val="000A48D0"/>
    <w:rsid w:val="000B0175"/>
    <w:rsid w:val="000B4192"/>
    <w:rsid w:val="000C0690"/>
    <w:rsid w:val="000C2898"/>
    <w:rsid w:val="000C5F41"/>
    <w:rsid w:val="000D02E4"/>
    <w:rsid w:val="000D0396"/>
    <w:rsid w:val="000D142B"/>
    <w:rsid w:val="000D19BA"/>
    <w:rsid w:val="000D7A4A"/>
    <w:rsid w:val="000E3BE3"/>
    <w:rsid w:val="000E4E64"/>
    <w:rsid w:val="000E4EAC"/>
    <w:rsid w:val="000E4F72"/>
    <w:rsid w:val="000F0201"/>
    <w:rsid w:val="000F0550"/>
    <w:rsid w:val="000F0C5A"/>
    <w:rsid w:val="000F1880"/>
    <w:rsid w:val="000F32C6"/>
    <w:rsid w:val="000F3881"/>
    <w:rsid w:val="000F42BB"/>
    <w:rsid w:val="000F7359"/>
    <w:rsid w:val="000F762B"/>
    <w:rsid w:val="00101793"/>
    <w:rsid w:val="001018FA"/>
    <w:rsid w:val="001069C3"/>
    <w:rsid w:val="00106D20"/>
    <w:rsid w:val="00107DCC"/>
    <w:rsid w:val="00116CFE"/>
    <w:rsid w:val="001225E8"/>
    <w:rsid w:val="00122A70"/>
    <w:rsid w:val="00130C11"/>
    <w:rsid w:val="00134264"/>
    <w:rsid w:val="001358E4"/>
    <w:rsid w:val="00137455"/>
    <w:rsid w:val="00140EEF"/>
    <w:rsid w:val="001454C3"/>
    <w:rsid w:val="001467BB"/>
    <w:rsid w:val="00147A96"/>
    <w:rsid w:val="001511FD"/>
    <w:rsid w:val="0015209A"/>
    <w:rsid w:val="001534B4"/>
    <w:rsid w:val="001544F8"/>
    <w:rsid w:val="00162265"/>
    <w:rsid w:val="00166902"/>
    <w:rsid w:val="00167835"/>
    <w:rsid w:val="001743C1"/>
    <w:rsid w:val="00174E05"/>
    <w:rsid w:val="00180CDB"/>
    <w:rsid w:val="00180E08"/>
    <w:rsid w:val="00181594"/>
    <w:rsid w:val="00186BE9"/>
    <w:rsid w:val="001901B7"/>
    <w:rsid w:val="00191F30"/>
    <w:rsid w:val="00192293"/>
    <w:rsid w:val="00197836"/>
    <w:rsid w:val="001978D8"/>
    <w:rsid w:val="001A1B2E"/>
    <w:rsid w:val="001A1C1B"/>
    <w:rsid w:val="001A23D5"/>
    <w:rsid w:val="001A265F"/>
    <w:rsid w:val="001A2C4B"/>
    <w:rsid w:val="001A627F"/>
    <w:rsid w:val="001B1DF3"/>
    <w:rsid w:val="001B2194"/>
    <w:rsid w:val="001B37E5"/>
    <w:rsid w:val="001B6B25"/>
    <w:rsid w:val="001D203B"/>
    <w:rsid w:val="001D2058"/>
    <w:rsid w:val="001D78DE"/>
    <w:rsid w:val="001E0ADA"/>
    <w:rsid w:val="001E0DAE"/>
    <w:rsid w:val="001E30C4"/>
    <w:rsid w:val="001E6C8C"/>
    <w:rsid w:val="001F06EC"/>
    <w:rsid w:val="001F5925"/>
    <w:rsid w:val="001F6895"/>
    <w:rsid w:val="001F742A"/>
    <w:rsid w:val="00201754"/>
    <w:rsid w:val="00203CFF"/>
    <w:rsid w:val="002079C9"/>
    <w:rsid w:val="0021033C"/>
    <w:rsid w:val="0021177F"/>
    <w:rsid w:val="00215E4F"/>
    <w:rsid w:val="002168B1"/>
    <w:rsid w:val="00222550"/>
    <w:rsid w:val="00227EEA"/>
    <w:rsid w:val="002335DE"/>
    <w:rsid w:val="00234962"/>
    <w:rsid w:val="00234B37"/>
    <w:rsid w:val="0024077E"/>
    <w:rsid w:val="00240E9B"/>
    <w:rsid w:val="00241C2B"/>
    <w:rsid w:val="0024365A"/>
    <w:rsid w:val="00244EF3"/>
    <w:rsid w:val="002466D9"/>
    <w:rsid w:val="00247DE0"/>
    <w:rsid w:val="00250C92"/>
    <w:rsid w:val="00251751"/>
    <w:rsid w:val="00252CD4"/>
    <w:rsid w:val="002549EE"/>
    <w:rsid w:val="00262767"/>
    <w:rsid w:val="00265248"/>
    <w:rsid w:val="00271072"/>
    <w:rsid w:val="00271B90"/>
    <w:rsid w:val="00275C5B"/>
    <w:rsid w:val="00285A9C"/>
    <w:rsid w:val="0028600B"/>
    <w:rsid w:val="0029007C"/>
    <w:rsid w:val="002914ED"/>
    <w:rsid w:val="00296304"/>
    <w:rsid w:val="002964A9"/>
    <w:rsid w:val="00296E50"/>
    <w:rsid w:val="00297944"/>
    <w:rsid w:val="002A0CDC"/>
    <w:rsid w:val="002A5546"/>
    <w:rsid w:val="002A5EF3"/>
    <w:rsid w:val="002B2A8A"/>
    <w:rsid w:val="002B5B53"/>
    <w:rsid w:val="002C2250"/>
    <w:rsid w:val="002C4E43"/>
    <w:rsid w:val="002C5B4C"/>
    <w:rsid w:val="002C614B"/>
    <w:rsid w:val="002C68F0"/>
    <w:rsid w:val="002D0126"/>
    <w:rsid w:val="002D0702"/>
    <w:rsid w:val="002D134D"/>
    <w:rsid w:val="002D2C02"/>
    <w:rsid w:val="002D35CD"/>
    <w:rsid w:val="002D39CC"/>
    <w:rsid w:val="002D6243"/>
    <w:rsid w:val="002E0299"/>
    <w:rsid w:val="002E1CFB"/>
    <w:rsid w:val="002E308B"/>
    <w:rsid w:val="002E58E7"/>
    <w:rsid w:val="002F2332"/>
    <w:rsid w:val="002F618C"/>
    <w:rsid w:val="002F64E8"/>
    <w:rsid w:val="002F7E91"/>
    <w:rsid w:val="00301295"/>
    <w:rsid w:val="00310AFD"/>
    <w:rsid w:val="00310C5B"/>
    <w:rsid w:val="003152CD"/>
    <w:rsid w:val="003168DF"/>
    <w:rsid w:val="00321915"/>
    <w:rsid w:val="00323324"/>
    <w:rsid w:val="00323CC5"/>
    <w:rsid w:val="0032430B"/>
    <w:rsid w:val="00326158"/>
    <w:rsid w:val="00327297"/>
    <w:rsid w:val="00327D7F"/>
    <w:rsid w:val="00331564"/>
    <w:rsid w:val="00331603"/>
    <w:rsid w:val="0033405B"/>
    <w:rsid w:val="00334DDF"/>
    <w:rsid w:val="003405E8"/>
    <w:rsid w:val="0034249E"/>
    <w:rsid w:val="003439DC"/>
    <w:rsid w:val="00351A0F"/>
    <w:rsid w:val="0036436D"/>
    <w:rsid w:val="00366257"/>
    <w:rsid w:val="003711B2"/>
    <w:rsid w:val="00372D60"/>
    <w:rsid w:val="0037634C"/>
    <w:rsid w:val="00377D06"/>
    <w:rsid w:val="0038150C"/>
    <w:rsid w:val="00387200"/>
    <w:rsid w:val="00387203"/>
    <w:rsid w:val="0039251F"/>
    <w:rsid w:val="003943B2"/>
    <w:rsid w:val="0039523C"/>
    <w:rsid w:val="003A41E1"/>
    <w:rsid w:val="003A60D8"/>
    <w:rsid w:val="003B5EC3"/>
    <w:rsid w:val="003B750B"/>
    <w:rsid w:val="003C2EB0"/>
    <w:rsid w:val="003C50E3"/>
    <w:rsid w:val="003D195D"/>
    <w:rsid w:val="003D1C24"/>
    <w:rsid w:val="003D52B1"/>
    <w:rsid w:val="003E0ABD"/>
    <w:rsid w:val="003E34D9"/>
    <w:rsid w:val="003F15E1"/>
    <w:rsid w:val="003F1EE6"/>
    <w:rsid w:val="003F4776"/>
    <w:rsid w:val="003F720D"/>
    <w:rsid w:val="0040013A"/>
    <w:rsid w:val="00400506"/>
    <w:rsid w:val="00404DCB"/>
    <w:rsid w:val="0041029A"/>
    <w:rsid w:val="00414815"/>
    <w:rsid w:val="00417B94"/>
    <w:rsid w:val="00421D7F"/>
    <w:rsid w:val="00423DE3"/>
    <w:rsid w:val="00431966"/>
    <w:rsid w:val="0043366F"/>
    <w:rsid w:val="00435438"/>
    <w:rsid w:val="00436045"/>
    <w:rsid w:val="00436F84"/>
    <w:rsid w:val="00437C3E"/>
    <w:rsid w:val="004406D7"/>
    <w:rsid w:val="00441402"/>
    <w:rsid w:val="0044186C"/>
    <w:rsid w:val="00442724"/>
    <w:rsid w:val="00445DFB"/>
    <w:rsid w:val="0044694A"/>
    <w:rsid w:val="0044723D"/>
    <w:rsid w:val="00450F72"/>
    <w:rsid w:val="00455533"/>
    <w:rsid w:val="004561FC"/>
    <w:rsid w:val="00456FEA"/>
    <w:rsid w:val="00457A4D"/>
    <w:rsid w:val="004654F3"/>
    <w:rsid w:val="004658CA"/>
    <w:rsid w:val="004706AB"/>
    <w:rsid w:val="00474127"/>
    <w:rsid w:val="00475DBF"/>
    <w:rsid w:val="00481887"/>
    <w:rsid w:val="00485068"/>
    <w:rsid w:val="0048678A"/>
    <w:rsid w:val="004871FC"/>
    <w:rsid w:val="0048731E"/>
    <w:rsid w:val="004946B0"/>
    <w:rsid w:val="00495200"/>
    <w:rsid w:val="00495C4C"/>
    <w:rsid w:val="00497F0B"/>
    <w:rsid w:val="004A0A71"/>
    <w:rsid w:val="004A1D98"/>
    <w:rsid w:val="004A3F66"/>
    <w:rsid w:val="004B5199"/>
    <w:rsid w:val="004C2560"/>
    <w:rsid w:val="004C43CB"/>
    <w:rsid w:val="004C5A0C"/>
    <w:rsid w:val="004D1848"/>
    <w:rsid w:val="004D1F3D"/>
    <w:rsid w:val="004D4956"/>
    <w:rsid w:val="004D4E47"/>
    <w:rsid w:val="004E5B50"/>
    <w:rsid w:val="004F33DD"/>
    <w:rsid w:val="004F51AB"/>
    <w:rsid w:val="004F7D05"/>
    <w:rsid w:val="00500807"/>
    <w:rsid w:val="00500B17"/>
    <w:rsid w:val="005031BB"/>
    <w:rsid w:val="00503408"/>
    <w:rsid w:val="005105B3"/>
    <w:rsid w:val="00510F06"/>
    <w:rsid w:val="00511077"/>
    <w:rsid w:val="005143DB"/>
    <w:rsid w:val="00522A37"/>
    <w:rsid w:val="00524240"/>
    <w:rsid w:val="00526371"/>
    <w:rsid w:val="00530E89"/>
    <w:rsid w:val="00533398"/>
    <w:rsid w:val="005335F2"/>
    <w:rsid w:val="00534DD0"/>
    <w:rsid w:val="00541020"/>
    <w:rsid w:val="0054296F"/>
    <w:rsid w:val="0054406A"/>
    <w:rsid w:val="005443E3"/>
    <w:rsid w:val="00546E2A"/>
    <w:rsid w:val="005503C8"/>
    <w:rsid w:val="005527E8"/>
    <w:rsid w:val="00554EDD"/>
    <w:rsid w:val="0055744C"/>
    <w:rsid w:val="00557815"/>
    <w:rsid w:val="00560C12"/>
    <w:rsid w:val="00561766"/>
    <w:rsid w:val="00561E4F"/>
    <w:rsid w:val="00562FDC"/>
    <w:rsid w:val="00563F4E"/>
    <w:rsid w:val="005650C9"/>
    <w:rsid w:val="00565A51"/>
    <w:rsid w:val="00567DC8"/>
    <w:rsid w:val="005738B3"/>
    <w:rsid w:val="00575D49"/>
    <w:rsid w:val="00575EBD"/>
    <w:rsid w:val="00577525"/>
    <w:rsid w:val="0058019B"/>
    <w:rsid w:val="00581F1A"/>
    <w:rsid w:val="005824AA"/>
    <w:rsid w:val="005854D9"/>
    <w:rsid w:val="00592AB8"/>
    <w:rsid w:val="00594ED1"/>
    <w:rsid w:val="005A14D6"/>
    <w:rsid w:val="005A285B"/>
    <w:rsid w:val="005A5C30"/>
    <w:rsid w:val="005A7187"/>
    <w:rsid w:val="005A786D"/>
    <w:rsid w:val="005B0193"/>
    <w:rsid w:val="005B22A1"/>
    <w:rsid w:val="005B3A25"/>
    <w:rsid w:val="005C505C"/>
    <w:rsid w:val="005C6F66"/>
    <w:rsid w:val="005C7F24"/>
    <w:rsid w:val="005D07A0"/>
    <w:rsid w:val="005D4E3D"/>
    <w:rsid w:val="005E247C"/>
    <w:rsid w:val="005E33CB"/>
    <w:rsid w:val="005E4A3E"/>
    <w:rsid w:val="005F2829"/>
    <w:rsid w:val="005F42CB"/>
    <w:rsid w:val="005F63F9"/>
    <w:rsid w:val="005F6A50"/>
    <w:rsid w:val="006001B1"/>
    <w:rsid w:val="0060327C"/>
    <w:rsid w:val="00605018"/>
    <w:rsid w:val="00606899"/>
    <w:rsid w:val="00607476"/>
    <w:rsid w:val="006075FE"/>
    <w:rsid w:val="006079A5"/>
    <w:rsid w:val="00607F7B"/>
    <w:rsid w:val="00612758"/>
    <w:rsid w:val="00612D6E"/>
    <w:rsid w:val="00620079"/>
    <w:rsid w:val="00621379"/>
    <w:rsid w:val="006214A9"/>
    <w:rsid w:val="00622FF9"/>
    <w:rsid w:val="00630F8B"/>
    <w:rsid w:val="00635CFB"/>
    <w:rsid w:val="0063654B"/>
    <w:rsid w:val="00636975"/>
    <w:rsid w:val="006425E6"/>
    <w:rsid w:val="00642FE9"/>
    <w:rsid w:val="00646531"/>
    <w:rsid w:val="0064681C"/>
    <w:rsid w:val="00647B0A"/>
    <w:rsid w:val="0065411C"/>
    <w:rsid w:val="00655498"/>
    <w:rsid w:val="00655DD1"/>
    <w:rsid w:val="006562EA"/>
    <w:rsid w:val="00657F71"/>
    <w:rsid w:val="00660A5E"/>
    <w:rsid w:val="006619AA"/>
    <w:rsid w:val="00662B74"/>
    <w:rsid w:val="00664C1A"/>
    <w:rsid w:val="00665460"/>
    <w:rsid w:val="006739BE"/>
    <w:rsid w:val="006772F5"/>
    <w:rsid w:val="00682C4D"/>
    <w:rsid w:val="00684F67"/>
    <w:rsid w:val="006920C9"/>
    <w:rsid w:val="006921B8"/>
    <w:rsid w:val="00692EA6"/>
    <w:rsid w:val="0069740E"/>
    <w:rsid w:val="006A4F4B"/>
    <w:rsid w:val="006A6476"/>
    <w:rsid w:val="006B1163"/>
    <w:rsid w:val="006B302D"/>
    <w:rsid w:val="006B39E8"/>
    <w:rsid w:val="006B7B73"/>
    <w:rsid w:val="006C316B"/>
    <w:rsid w:val="006C5135"/>
    <w:rsid w:val="006C600E"/>
    <w:rsid w:val="006D15B1"/>
    <w:rsid w:val="006D2AC0"/>
    <w:rsid w:val="006D7077"/>
    <w:rsid w:val="006E0B70"/>
    <w:rsid w:val="006E1747"/>
    <w:rsid w:val="006E1EBA"/>
    <w:rsid w:val="006E6215"/>
    <w:rsid w:val="006F0BC7"/>
    <w:rsid w:val="006F3751"/>
    <w:rsid w:val="006F55E0"/>
    <w:rsid w:val="006F5703"/>
    <w:rsid w:val="006F6801"/>
    <w:rsid w:val="00700933"/>
    <w:rsid w:val="00701C94"/>
    <w:rsid w:val="007026D2"/>
    <w:rsid w:val="007033DE"/>
    <w:rsid w:val="00707968"/>
    <w:rsid w:val="00710C59"/>
    <w:rsid w:val="00714F05"/>
    <w:rsid w:val="00725B53"/>
    <w:rsid w:val="0073009B"/>
    <w:rsid w:val="007306A1"/>
    <w:rsid w:val="0073119B"/>
    <w:rsid w:val="00733DD8"/>
    <w:rsid w:val="00740EBC"/>
    <w:rsid w:val="0074362B"/>
    <w:rsid w:val="00746A96"/>
    <w:rsid w:val="0075169C"/>
    <w:rsid w:val="00753CC1"/>
    <w:rsid w:val="00757968"/>
    <w:rsid w:val="0076249E"/>
    <w:rsid w:val="00763EF2"/>
    <w:rsid w:val="0076424D"/>
    <w:rsid w:val="00766754"/>
    <w:rsid w:val="00770727"/>
    <w:rsid w:val="00771A63"/>
    <w:rsid w:val="00774481"/>
    <w:rsid w:val="00774C6A"/>
    <w:rsid w:val="00782419"/>
    <w:rsid w:val="007829E4"/>
    <w:rsid w:val="00791CFA"/>
    <w:rsid w:val="007942A4"/>
    <w:rsid w:val="00797B86"/>
    <w:rsid w:val="007A0579"/>
    <w:rsid w:val="007A55F6"/>
    <w:rsid w:val="007A6433"/>
    <w:rsid w:val="007B1B8B"/>
    <w:rsid w:val="007B4E92"/>
    <w:rsid w:val="007B730D"/>
    <w:rsid w:val="007B78E9"/>
    <w:rsid w:val="007C1AF6"/>
    <w:rsid w:val="007C1CF0"/>
    <w:rsid w:val="007C30CD"/>
    <w:rsid w:val="007C4CB8"/>
    <w:rsid w:val="007C4E63"/>
    <w:rsid w:val="007C6B69"/>
    <w:rsid w:val="007C7D32"/>
    <w:rsid w:val="007D0AD7"/>
    <w:rsid w:val="007D16F8"/>
    <w:rsid w:val="007D2B56"/>
    <w:rsid w:val="007D3783"/>
    <w:rsid w:val="007D56CD"/>
    <w:rsid w:val="007E4B4E"/>
    <w:rsid w:val="007F1B1D"/>
    <w:rsid w:val="007F2C6C"/>
    <w:rsid w:val="007F55A3"/>
    <w:rsid w:val="007F6902"/>
    <w:rsid w:val="007F7D91"/>
    <w:rsid w:val="0080487A"/>
    <w:rsid w:val="0080622E"/>
    <w:rsid w:val="00806258"/>
    <w:rsid w:val="008064CD"/>
    <w:rsid w:val="008108A4"/>
    <w:rsid w:val="00810FE2"/>
    <w:rsid w:val="008112BB"/>
    <w:rsid w:val="008119CF"/>
    <w:rsid w:val="00812C83"/>
    <w:rsid w:val="00815601"/>
    <w:rsid w:val="00815EB0"/>
    <w:rsid w:val="008205C2"/>
    <w:rsid w:val="00823D99"/>
    <w:rsid w:val="008249B5"/>
    <w:rsid w:val="008251CE"/>
    <w:rsid w:val="00826C44"/>
    <w:rsid w:val="00830740"/>
    <w:rsid w:val="00830DA1"/>
    <w:rsid w:val="008338EB"/>
    <w:rsid w:val="00833AF5"/>
    <w:rsid w:val="00835F2A"/>
    <w:rsid w:val="00836EA5"/>
    <w:rsid w:val="008370DF"/>
    <w:rsid w:val="00844257"/>
    <w:rsid w:val="00854227"/>
    <w:rsid w:val="008553D8"/>
    <w:rsid w:val="008570C4"/>
    <w:rsid w:val="00866F63"/>
    <w:rsid w:val="00870110"/>
    <w:rsid w:val="00870EAA"/>
    <w:rsid w:val="00873EEA"/>
    <w:rsid w:val="00875591"/>
    <w:rsid w:val="008769FB"/>
    <w:rsid w:val="0087787B"/>
    <w:rsid w:val="00882470"/>
    <w:rsid w:val="0088298E"/>
    <w:rsid w:val="00887917"/>
    <w:rsid w:val="008930AB"/>
    <w:rsid w:val="00893162"/>
    <w:rsid w:val="00893F3B"/>
    <w:rsid w:val="00894C4A"/>
    <w:rsid w:val="00895C67"/>
    <w:rsid w:val="00896D22"/>
    <w:rsid w:val="008A0539"/>
    <w:rsid w:val="008A089B"/>
    <w:rsid w:val="008A19F6"/>
    <w:rsid w:val="008A2156"/>
    <w:rsid w:val="008A4913"/>
    <w:rsid w:val="008A6788"/>
    <w:rsid w:val="008A6FE4"/>
    <w:rsid w:val="008B05C3"/>
    <w:rsid w:val="008B17B1"/>
    <w:rsid w:val="008B29CA"/>
    <w:rsid w:val="008B60A2"/>
    <w:rsid w:val="008B67D4"/>
    <w:rsid w:val="008B7A11"/>
    <w:rsid w:val="008C48DA"/>
    <w:rsid w:val="008D2591"/>
    <w:rsid w:val="008D56C6"/>
    <w:rsid w:val="008D68D5"/>
    <w:rsid w:val="008D69EB"/>
    <w:rsid w:val="008E0403"/>
    <w:rsid w:val="008E19CA"/>
    <w:rsid w:val="008E4E16"/>
    <w:rsid w:val="008E5D97"/>
    <w:rsid w:val="008F4D86"/>
    <w:rsid w:val="008F50B4"/>
    <w:rsid w:val="009016E4"/>
    <w:rsid w:val="00910060"/>
    <w:rsid w:val="00914138"/>
    <w:rsid w:val="009241BD"/>
    <w:rsid w:val="00931F10"/>
    <w:rsid w:val="0093253C"/>
    <w:rsid w:val="00934398"/>
    <w:rsid w:val="00934935"/>
    <w:rsid w:val="00935091"/>
    <w:rsid w:val="00935F04"/>
    <w:rsid w:val="009368C0"/>
    <w:rsid w:val="00946F9A"/>
    <w:rsid w:val="009532A7"/>
    <w:rsid w:val="00957DF1"/>
    <w:rsid w:val="00962D0F"/>
    <w:rsid w:val="009643E5"/>
    <w:rsid w:val="00973066"/>
    <w:rsid w:val="0097642F"/>
    <w:rsid w:val="009768DF"/>
    <w:rsid w:val="00976D66"/>
    <w:rsid w:val="00981F26"/>
    <w:rsid w:val="00982DBE"/>
    <w:rsid w:val="00987F61"/>
    <w:rsid w:val="00990853"/>
    <w:rsid w:val="009946E5"/>
    <w:rsid w:val="009947E2"/>
    <w:rsid w:val="00995245"/>
    <w:rsid w:val="0099754E"/>
    <w:rsid w:val="009A1245"/>
    <w:rsid w:val="009A158D"/>
    <w:rsid w:val="009A2658"/>
    <w:rsid w:val="009A5AC9"/>
    <w:rsid w:val="009A666D"/>
    <w:rsid w:val="009A6E81"/>
    <w:rsid w:val="009B083C"/>
    <w:rsid w:val="009B4AF3"/>
    <w:rsid w:val="009B607F"/>
    <w:rsid w:val="009B7611"/>
    <w:rsid w:val="009C0D74"/>
    <w:rsid w:val="009C39EC"/>
    <w:rsid w:val="009C457D"/>
    <w:rsid w:val="009D0A8A"/>
    <w:rsid w:val="009D0B33"/>
    <w:rsid w:val="009D24C7"/>
    <w:rsid w:val="009E31AE"/>
    <w:rsid w:val="009E61ED"/>
    <w:rsid w:val="009E689F"/>
    <w:rsid w:val="009F1002"/>
    <w:rsid w:val="009F1485"/>
    <w:rsid w:val="009F36C7"/>
    <w:rsid w:val="009F4E77"/>
    <w:rsid w:val="009F6258"/>
    <w:rsid w:val="00A027F4"/>
    <w:rsid w:val="00A05323"/>
    <w:rsid w:val="00A13A9B"/>
    <w:rsid w:val="00A1407C"/>
    <w:rsid w:val="00A141FC"/>
    <w:rsid w:val="00A1675E"/>
    <w:rsid w:val="00A17D37"/>
    <w:rsid w:val="00A22BD1"/>
    <w:rsid w:val="00A325A6"/>
    <w:rsid w:val="00A33CEC"/>
    <w:rsid w:val="00A36BAC"/>
    <w:rsid w:val="00A37313"/>
    <w:rsid w:val="00A37B3F"/>
    <w:rsid w:val="00A37D9E"/>
    <w:rsid w:val="00A40A2E"/>
    <w:rsid w:val="00A40FB3"/>
    <w:rsid w:val="00A44E7A"/>
    <w:rsid w:val="00A525D9"/>
    <w:rsid w:val="00A53151"/>
    <w:rsid w:val="00A531FA"/>
    <w:rsid w:val="00A53571"/>
    <w:rsid w:val="00A53D1F"/>
    <w:rsid w:val="00A55B99"/>
    <w:rsid w:val="00A561CC"/>
    <w:rsid w:val="00A5653A"/>
    <w:rsid w:val="00A60568"/>
    <w:rsid w:val="00A6064B"/>
    <w:rsid w:val="00A61874"/>
    <w:rsid w:val="00A62341"/>
    <w:rsid w:val="00A630D0"/>
    <w:rsid w:val="00A63115"/>
    <w:rsid w:val="00A64B61"/>
    <w:rsid w:val="00A73C35"/>
    <w:rsid w:val="00A75652"/>
    <w:rsid w:val="00A825F1"/>
    <w:rsid w:val="00A840AE"/>
    <w:rsid w:val="00A85F0D"/>
    <w:rsid w:val="00A86329"/>
    <w:rsid w:val="00A9639A"/>
    <w:rsid w:val="00AA18BF"/>
    <w:rsid w:val="00AA632E"/>
    <w:rsid w:val="00AA6C2B"/>
    <w:rsid w:val="00AB1519"/>
    <w:rsid w:val="00AB159E"/>
    <w:rsid w:val="00AB7EA8"/>
    <w:rsid w:val="00AC1152"/>
    <w:rsid w:val="00AD1429"/>
    <w:rsid w:val="00AE2974"/>
    <w:rsid w:val="00AE3F5B"/>
    <w:rsid w:val="00AE5AF9"/>
    <w:rsid w:val="00AF243F"/>
    <w:rsid w:val="00AF270E"/>
    <w:rsid w:val="00B02D3A"/>
    <w:rsid w:val="00B03525"/>
    <w:rsid w:val="00B103AE"/>
    <w:rsid w:val="00B11083"/>
    <w:rsid w:val="00B13F73"/>
    <w:rsid w:val="00B16881"/>
    <w:rsid w:val="00B1689D"/>
    <w:rsid w:val="00B24B0B"/>
    <w:rsid w:val="00B36134"/>
    <w:rsid w:val="00B3781E"/>
    <w:rsid w:val="00B4242B"/>
    <w:rsid w:val="00B42BB1"/>
    <w:rsid w:val="00B43541"/>
    <w:rsid w:val="00B4399D"/>
    <w:rsid w:val="00B45B9F"/>
    <w:rsid w:val="00B50B72"/>
    <w:rsid w:val="00B56C80"/>
    <w:rsid w:val="00B65B13"/>
    <w:rsid w:val="00B67615"/>
    <w:rsid w:val="00B70773"/>
    <w:rsid w:val="00B711B8"/>
    <w:rsid w:val="00B82D98"/>
    <w:rsid w:val="00B843AE"/>
    <w:rsid w:val="00B94CD3"/>
    <w:rsid w:val="00B9744F"/>
    <w:rsid w:val="00B978C4"/>
    <w:rsid w:val="00BA24F2"/>
    <w:rsid w:val="00BA66C9"/>
    <w:rsid w:val="00BA7741"/>
    <w:rsid w:val="00BA7ADC"/>
    <w:rsid w:val="00BB2A71"/>
    <w:rsid w:val="00BB58FE"/>
    <w:rsid w:val="00BB6554"/>
    <w:rsid w:val="00BB679C"/>
    <w:rsid w:val="00BB7489"/>
    <w:rsid w:val="00BC04C8"/>
    <w:rsid w:val="00BD1D71"/>
    <w:rsid w:val="00BD1FEE"/>
    <w:rsid w:val="00BD61A9"/>
    <w:rsid w:val="00BD6B02"/>
    <w:rsid w:val="00BE0C58"/>
    <w:rsid w:val="00BF0B93"/>
    <w:rsid w:val="00BF6D22"/>
    <w:rsid w:val="00BF7354"/>
    <w:rsid w:val="00C0107F"/>
    <w:rsid w:val="00C033CA"/>
    <w:rsid w:val="00C0405A"/>
    <w:rsid w:val="00C0405B"/>
    <w:rsid w:val="00C053C9"/>
    <w:rsid w:val="00C0560D"/>
    <w:rsid w:val="00C06C29"/>
    <w:rsid w:val="00C10090"/>
    <w:rsid w:val="00C11D47"/>
    <w:rsid w:val="00C20429"/>
    <w:rsid w:val="00C20AF6"/>
    <w:rsid w:val="00C27C2A"/>
    <w:rsid w:val="00C33069"/>
    <w:rsid w:val="00C34C9B"/>
    <w:rsid w:val="00C520E8"/>
    <w:rsid w:val="00C535B1"/>
    <w:rsid w:val="00C53D4C"/>
    <w:rsid w:val="00C60A55"/>
    <w:rsid w:val="00C71BAB"/>
    <w:rsid w:val="00C76F66"/>
    <w:rsid w:val="00C77899"/>
    <w:rsid w:val="00C84488"/>
    <w:rsid w:val="00C8613F"/>
    <w:rsid w:val="00C86582"/>
    <w:rsid w:val="00C86D3F"/>
    <w:rsid w:val="00C87715"/>
    <w:rsid w:val="00C87DA0"/>
    <w:rsid w:val="00C90822"/>
    <w:rsid w:val="00C9515A"/>
    <w:rsid w:val="00CA0428"/>
    <w:rsid w:val="00CA3433"/>
    <w:rsid w:val="00CA4576"/>
    <w:rsid w:val="00CA7D50"/>
    <w:rsid w:val="00CB3BFC"/>
    <w:rsid w:val="00CB6923"/>
    <w:rsid w:val="00CC1BA3"/>
    <w:rsid w:val="00CC5824"/>
    <w:rsid w:val="00CC5FAF"/>
    <w:rsid w:val="00CC7B24"/>
    <w:rsid w:val="00CD04BF"/>
    <w:rsid w:val="00CD3FA6"/>
    <w:rsid w:val="00CD4B00"/>
    <w:rsid w:val="00CD606E"/>
    <w:rsid w:val="00CD7917"/>
    <w:rsid w:val="00CF0C5A"/>
    <w:rsid w:val="00CF2435"/>
    <w:rsid w:val="00CF2833"/>
    <w:rsid w:val="00CF62D4"/>
    <w:rsid w:val="00CF75C2"/>
    <w:rsid w:val="00D0046C"/>
    <w:rsid w:val="00D00740"/>
    <w:rsid w:val="00D145DD"/>
    <w:rsid w:val="00D16FCF"/>
    <w:rsid w:val="00D2569A"/>
    <w:rsid w:val="00D25A9E"/>
    <w:rsid w:val="00D26DE1"/>
    <w:rsid w:val="00D30818"/>
    <w:rsid w:val="00D30EDF"/>
    <w:rsid w:val="00D43C16"/>
    <w:rsid w:val="00D4619F"/>
    <w:rsid w:val="00D479C9"/>
    <w:rsid w:val="00D50888"/>
    <w:rsid w:val="00D5143B"/>
    <w:rsid w:val="00D51B11"/>
    <w:rsid w:val="00D54B50"/>
    <w:rsid w:val="00D61C7F"/>
    <w:rsid w:val="00D64D70"/>
    <w:rsid w:val="00D70434"/>
    <w:rsid w:val="00D73DDD"/>
    <w:rsid w:val="00D743BE"/>
    <w:rsid w:val="00D744BB"/>
    <w:rsid w:val="00D75419"/>
    <w:rsid w:val="00D812B4"/>
    <w:rsid w:val="00D81A82"/>
    <w:rsid w:val="00D8245E"/>
    <w:rsid w:val="00D8254C"/>
    <w:rsid w:val="00D8302C"/>
    <w:rsid w:val="00D83726"/>
    <w:rsid w:val="00D83792"/>
    <w:rsid w:val="00D8407E"/>
    <w:rsid w:val="00D84A92"/>
    <w:rsid w:val="00D8507C"/>
    <w:rsid w:val="00D8717E"/>
    <w:rsid w:val="00D91768"/>
    <w:rsid w:val="00D95654"/>
    <w:rsid w:val="00D973AE"/>
    <w:rsid w:val="00DA0A80"/>
    <w:rsid w:val="00DA11AB"/>
    <w:rsid w:val="00DA4800"/>
    <w:rsid w:val="00DB01D4"/>
    <w:rsid w:val="00DB1559"/>
    <w:rsid w:val="00DB5C1B"/>
    <w:rsid w:val="00DC01AB"/>
    <w:rsid w:val="00DC4793"/>
    <w:rsid w:val="00DC48DE"/>
    <w:rsid w:val="00DC4955"/>
    <w:rsid w:val="00DC707B"/>
    <w:rsid w:val="00DD0EAA"/>
    <w:rsid w:val="00DD35DF"/>
    <w:rsid w:val="00DD4221"/>
    <w:rsid w:val="00DD65E4"/>
    <w:rsid w:val="00DD6B37"/>
    <w:rsid w:val="00DE6887"/>
    <w:rsid w:val="00DF085D"/>
    <w:rsid w:val="00DF721D"/>
    <w:rsid w:val="00E04C5E"/>
    <w:rsid w:val="00E10A6F"/>
    <w:rsid w:val="00E10F9D"/>
    <w:rsid w:val="00E150BD"/>
    <w:rsid w:val="00E15237"/>
    <w:rsid w:val="00E15D67"/>
    <w:rsid w:val="00E17235"/>
    <w:rsid w:val="00E17A3A"/>
    <w:rsid w:val="00E2278A"/>
    <w:rsid w:val="00E271CD"/>
    <w:rsid w:val="00E30B76"/>
    <w:rsid w:val="00E313DD"/>
    <w:rsid w:val="00E31C6F"/>
    <w:rsid w:val="00E34B87"/>
    <w:rsid w:val="00E35C6B"/>
    <w:rsid w:val="00E44858"/>
    <w:rsid w:val="00E44AE6"/>
    <w:rsid w:val="00E4629C"/>
    <w:rsid w:val="00E46FF2"/>
    <w:rsid w:val="00E508FA"/>
    <w:rsid w:val="00E50C32"/>
    <w:rsid w:val="00E52DDB"/>
    <w:rsid w:val="00E6063F"/>
    <w:rsid w:val="00E62CDB"/>
    <w:rsid w:val="00E71B37"/>
    <w:rsid w:val="00E72613"/>
    <w:rsid w:val="00E73975"/>
    <w:rsid w:val="00E76BE1"/>
    <w:rsid w:val="00E8024B"/>
    <w:rsid w:val="00E90858"/>
    <w:rsid w:val="00E91A6C"/>
    <w:rsid w:val="00E9487E"/>
    <w:rsid w:val="00E9643D"/>
    <w:rsid w:val="00EA05B3"/>
    <w:rsid w:val="00EA5B14"/>
    <w:rsid w:val="00EA64F7"/>
    <w:rsid w:val="00EB051C"/>
    <w:rsid w:val="00EB4E02"/>
    <w:rsid w:val="00EB5246"/>
    <w:rsid w:val="00EC0FE6"/>
    <w:rsid w:val="00EC1F27"/>
    <w:rsid w:val="00EC3561"/>
    <w:rsid w:val="00EC4083"/>
    <w:rsid w:val="00ED052D"/>
    <w:rsid w:val="00ED2369"/>
    <w:rsid w:val="00ED2A2D"/>
    <w:rsid w:val="00ED3562"/>
    <w:rsid w:val="00EE1C63"/>
    <w:rsid w:val="00EE384F"/>
    <w:rsid w:val="00EE5E68"/>
    <w:rsid w:val="00EE61E9"/>
    <w:rsid w:val="00EF18C4"/>
    <w:rsid w:val="00EF464B"/>
    <w:rsid w:val="00EF5611"/>
    <w:rsid w:val="00EF5B46"/>
    <w:rsid w:val="00EF5E76"/>
    <w:rsid w:val="00EF62CF"/>
    <w:rsid w:val="00EF69AB"/>
    <w:rsid w:val="00F006E1"/>
    <w:rsid w:val="00F04160"/>
    <w:rsid w:val="00F05108"/>
    <w:rsid w:val="00F1273E"/>
    <w:rsid w:val="00F12BA6"/>
    <w:rsid w:val="00F20CDD"/>
    <w:rsid w:val="00F21A04"/>
    <w:rsid w:val="00F2294D"/>
    <w:rsid w:val="00F23AF5"/>
    <w:rsid w:val="00F25081"/>
    <w:rsid w:val="00F32143"/>
    <w:rsid w:val="00F33E2E"/>
    <w:rsid w:val="00F35CE0"/>
    <w:rsid w:val="00F36E85"/>
    <w:rsid w:val="00F41054"/>
    <w:rsid w:val="00F43867"/>
    <w:rsid w:val="00F43A05"/>
    <w:rsid w:val="00F461FD"/>
    <w:rsid w:val="00F46C48"/>
    <w:rsid w:val="00F5155F"/>
    <w:rsid w:val="00F51903"/>
    <w:rsid w:val="00F55E60"/>
    <w:rsid w:val="00F6038E"/>
    <w:rsid w:val="00F60780"/>
    <w:rsid w:val="00F60A99"/>
    <w:rsid w:val="00F6328C"/>
    <w:rsid w:val="00F6538F"/>
    <w:rsid w:val="00F65652"/>
    <w:rsid w:val="00F65D67"/>
    <w:rsid w:val="00F665D3"/>
    <w:rsid w:val="00F70FDD"/>
    <w:rsid w:val="00F76CBE"/>
    <w:rsid w:val="00F80A8C"/>
    <w:rsid w:val="00F860C9"/>
    <w:rsid w:val="00F90DB7"/>
    <w:rsid w:val="00F93F94"/>
    <w:rsid w:val="00F96486"/>
    <w:rsid w:val="00F97F86"/>
    <w:rsid w:val="00FA1F1B"/>
    <w:rsid w:val="00FA2433"/>
    <w:rsid w:val="00FA2BA2"/>
    <w:rsid w:val="00FA306D"/>
    <w:rsid w:val="00FA3A26"/>
    <w:rsid w:val="00FA4559"/>
    <w:rsid w:val="00FA49FF"/>
    <w:rsid w:val="00FA5E9A"/>
    <w:rsid w:val="00FB0972"/>
    <w:rsid w:val="00FB19C5"/>
    <w:rsid w:val="00FB37BC"/>
    <w:rsid w:val="00FC14D7"/>
    <w:rsid w:val="00FC5708"/>
    <w:rsid w:val="00FC786D"/>
    <w:rsid w:val="00FD191D"/>
    <w:rsid w:val="00FD2336"/>
    <w:rsid w:val="00FD4E5E"/>
    <w:rsid w:val="00FD78C8"/>
    <w:rsid w:val="00FE3E96"/>
    <w:rsid w:val="00FE4D63"/>
    <w:rsid w:val="00FE52F8"/>
    <w:rsid w:val="00FE5E2E"/>
    <w:rsid w:val="00FE755B"/>
    <w:rsid w:val="00FF00D1"/>
    <w:rsid w:val="00FF4504"/>
    <w:rsid w:val="00FF506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C2C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7D05"/>
    <w:pPr>
      <w:keepNext/>
      <w:numPr>
        <w:numId w:val="3"/>
      </w:numPr>
      <w:tabs>
        <w:tab w:val="left" w:pos="3735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4F7D05"/>
    <w:pPr>
      <w:keepNext/>
      <w:numPr>
        <w:ilvl w:val="1"/>
        <w:numId w:val="3"/>
      </w:numPr>
      <w:outlineLvl w:val="1"/>
    </w:pPr>
    <w:rPr>
      <w:sz w:val="32"/>
    </w:rPr>
  </w:style>
  <w:style w:type="paragraph" w:styleId="3">
    <w:name w:val="heading 3"/>
    <w:basedOn w:val="a"/>
    <w:next w:val="a"/>
    <w:uiPriority w:val="99"/>
    <w:qFormat/>
    <w:rsid w:val="00D81A8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80E0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uiPriority w:val="99"/>
    <w:qFormat/>
    <w:rsid w:val="00981F2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7D05"/>
    <w:pPr>
      <w:spacing w:after="120"/>
      <w:ind w:left="283"/>
    </w:pPr>
  </w:style>
  <w:style w:type="table" w:styleId="a4">
    <w:name w:val="Table Grid"/>
    <w:basedOn w:val="a1"/>
    <w:uiPriority w:val="99"/>
    <w:rsid w:val="004F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18F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E384F"/>
    <w:rPr>
      <w:b/>
      <w:bCs/>
    </w:rPr>
  </w:style>
  <w:style w:type="paragraph" w:styleId="a7">
    <w:name w:val="footer"/>
    <w:basedOn w:val="a"/>
    <w:rsid w:val="0044694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4694A"/>
  </w:style>
  <w:style w:type="paragraph" w:styleId="a9">
    <w:name w:val="Body Text"/>
    <w:basedOn w:val="a"/>
    <w:rsid w:val="009E31AE"/>
    <w:pPr>
      <w:spacing w:after="120"/>
    </w:pPr>
  </w:style>
  <w:style w:type="paragraph" w:styleId="Web">
    <w:name w:val="Normal (Web)"/>
    <w:basedOn w:val="a"/>
    <w:uiPriority w:val="99"/>
    <w:unhideWhenUsed/>
    <w:rsid w:val="007A0579"/>
    <w:pPr>
      <w:spacing w:before="100" w:beforeAutospacing="1" w:after="100" w:afterAutospacing="1"/>
    </w:pPr>
  </w:style>
  <w:style w:type="character" w:customStyle="1" w:styleId="4Char">
    <w:name w:val="Επικεφαλίδα 4 Char"/>
    <w:basedOn w:val="a0"/>
    <w:link w:val="4"/>
    <w:rsid w:val="00180E08"/>
    <w:rPr>
      <w:b/>
      <w:bCs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rsid w:val="00546E2A"/>
    <w:rPr>
      <w:sz w:val="32"/>
      <w:szCs w:val="24"/>
      <w:lang w:val="el-GR" w:eastAsia="el-GR" w:bidi="ar-SA"/>
    </w:rPr>
  </w:style>
  <w:style w:type="paragraph" w:styleId="aa">
    <w:name w:val="List Paragraph"/>
    <w:basedOn w:val="a"/>
    <w:uiPriority w:val="99"/>
    <w:qFormat/>
    <w:rsid w:val="00546E2A"/>
    <w:pPr>
      <w:ind w:left="720"/>
      <w:contextualSpacing/>
    </w:pPr>
  </w:style>
  <w:style w:type="paragraph" w:customStyle="1" w:styleId="10">
    <w:name w:val="Παράγραφος λίστας1"/>
    <w:basedOn w:val="a"/>
    <w:rsid w:val="005527E8"/>
    <w:pPr>
      <w:ind w:left="720"/>
      <w:contextualSpacing/>
    </w:pPr>
  </w:style>
  <w:style w:type="character" w:customStyle="1" w:styleId="1Char">
    <w:name w:val="Επικεφαλίδα 1 Char"/>
    <w:link w:val="1"/>
    <w:uiPriority w:val="99"/>
    <w:rsid w:val="008A6788"/>
    <w:rPr>
      <w:rFonts w:ascii="Arial" w:hAnsi="Arial" w:cs="Arial"/>
      <w:b/>
      <w:bCs/>
      <w:sz w:val="28"/>
      <w:szCs w:val="24"/>
    </w:rPr>
  </w:style>
  <w:style w:type="paragraph" w:styleId="ab">
    <w:name w:val="Title"/>
    <w:basedOn w:val="a"/>
    <w:link w:val="Char"/>
    <w:uiPriority w:val="99"/>
    <w:qFormat/>
    <w:rsid w:val="00606899"/>
    <w:pPr>
      <w:jc w:val="center"/>
    </w:pPr>
    <w:rPr>
      <w:rFonts w:ascii="Arial" w:hAnsi="Arial" w:cs="Arial"/>
      <w:b/>
      <w:bCs/>
      <w:sz w:val="32"/>
    </w:rPr>
  </w:style>
  <w:style w:type="character" w:customStyle="1" w:styleId="Char">
    <w:name w:val="Τίτλος Char"/>
    <w:basedOn w:val="a0"/>
    <w:link w:val="ab"/>
    <w:uiPriority w:val="99"/>
    <w:rsid w:val="00606899"/>
    <w:rPr>
      <w:rFonts w:ascii="Arial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0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4F7D05"/>
    <w:pPr>
      <w:keepNext/>
      <w:numPr>
        <w:numId w:val="3"/>
      </w:numPr>
      <w:tabs>
        <w:tab w:val="left" w:pos="3735"/>
      </w:tabs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Char"/>
    <w:uiPriority w:val="99"/>
    <w:qFormat/>
    <w:rsid w:val="004F7D05"/>
    <w:pPr>
      <w:keepNext/>
      <w:numPr>
        <w:ilvl w:val="1"/>
        <w:numId w:val="3"/>
      </w:numPr>
      <w:outlineLvl w:val="1"/>
    </w:pPr>
    <w:rPr>
      <w:sz w:val="32"/>
    </w:rPr>
  </w:style>
  <w:style w:type="paragraph" w:styleId="3">
    <w:name w:val="heading 3"/>
    <w:basedOn w:val="a"/>
    <w:next w:val="a"/>
    <w:uiPriority w:val="99"/>
    <w:qFormat/>
    <w:rsid w:val="00D81A8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180E08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uiPriority w:val="99"/>
    <w:qFormat/>
    <w:rsid w:val="00981F26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7D05"/>
    <w:pPr>
      <w:spacing w:after="120"/>
      <w:ind w:left="283"/>
    </w:pPr>
  </w:style>
  <w:style w:type="table" w:styleId="a4">
    <w:name w:val="Table Grid"/>
    <w:basedOn w:val="a1"/>
    <w:uiPriority w:val="99"/>
    <w:rsid w:val="004F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018F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EE384F"/>
    <w:rPr>
      <w:b/>
      <w:bCs/>
    </w:rPr>
  </w:style>
  <w:style w:type="paragraph" w:styleId="a7">
    <w:name w:val="footer"/>
    <w:basedOn w:val="a"/>
    <w:rsid w:val="0044694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4694A"/>
  </w:style>
  <w:style w:type="paragraph" w:styleId="a9">
    <w:name w:val="Body Text"/>
    <w:basedOn w:val="a"/>
    <w:rsid w:val="009E31AE"/>
    <w:pPr>
      <w:spacing w:after="120"/>
    </w:pPr>
  </w:style>
  <w:style w:type="paragraph" w:styleId="Web">
    <w:name w:val="Normal (Web)"/>
    <w:basedOn w:val="a"/>
    <w:uiPriority w:val="99"/>
    <w:unhideWhenUsed/>
    <w:rsid w:val="007A0579"/>
    <w:pPr>
      <w:spacing w:before="100" w:beforeAutospacing="1" w:after="100" w:afterAutospacing="1"/>
    </w:pPr>
  </w:style>
  <w:style w:type="character" w:customStyle="1" w:styleId="4Char">
    <w:name w:val="Επικεφαλίδα 4 Char"/>
    <w:basedOn w:val="a0"/>
    <w:link w:val="4"/>
    <w:rsid w:val="00180E08"/>
    <w:rPr>
      <w:b/>
      <w:bCs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rsid w:val="00546E2A"/>
    <w:rPr>
      <w:sz w:val="32"/>
      <w:szCs w:val="24"/>
      <w:lang w:val="el-GR" w:eastAsia="el-GR" w:bidi="ar-SA"/>
    </w:rPr>
  </w:style>
  <w:style w:type="paragraph" w:styleId="aa">
    <w:name w:val="List Paragraph"/>
    <w:basedOn w:val="a"/>
    <w:uiPriority w:val="99"/>
    <w:qFormat/>
    <w:rsid w:val="00546E2A"/>
    <w:pPr>
      <w:ind w:left="720"/>
      <w:contextualSpacing/>
    </w:pPr>
  </w:style>
  <w:style w:type="paragraph" w:customStyle="1" w:styleId="10">
    <w:name w:val="Παράγραφος λίστας1"/>
    <w:basedOn w:val="a"/>
    <w:rsid w:val="005527E8"/>
    <w:pPr>
      <w:ind w:left="720"/>
      <w:contextualSpacing/>
    </w:pPr>
  </w:style>
  <w:style w:type="character" w:customStyle="1" w:styleId="1Char">
    <w:name w:val="Επικεφαλίδα 1 Char"/>
    <w:link w:val="1"/>
    <w:uiPriority w:val="99"/>
    <w:rsid w:val="008A6788"/>
    <w:rPr>
      <w:rFonts w:ascii="Arial" w:hAnsi="Arial" w:cs="Arial"/>
      <w:b/>
      <w:bCs/>
      <w:sz w:val="28"/>
      <w:szCs w:val="24"/>
    </w:rPr>
  </w:style>
  <w:style w:type="paragraph" w:styleId="ab">
    <w:name w:val="Title"/>
    <w:basedOn w:val="a"/>
    <w:link w:val="Char"/>
    <w:uiPriority w:val="99"/>
    <w:qFormat/>
    <w:rsid w:val="00606899"/>
    <w:pPr>
      <w:jc w:val="center"/>
    </w:pPr>
    <w:rPr>
      <w:rFonts w:ascii="Arial" w:hAnsi="Arial" w:cs="Arial"/>
      <w:b/>
      <w:bCs/>
      <w:sz w:val="32"/>
    </w:rPr>
  </w:style>
  <w:style w:type="character" w:customStyle="1" w:styleId="Char">
    <w:name w:val="Τίτλος Char"/>
    <w:basedOn w:val="a0"/>
    <w:link w:val="ab"/>
    <w:uiPriority w:val="99"/>
    <w:rsid w:val="00606899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5C37-41BC-45D9-AD31-9EBD3AE3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ΔΗΜΟΤΙΚΗ ΕΠΙΧΕΙΡΗΣΗ</vt:lpstr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ΔΗΜΟΤΙΚΗ ΕΠΙΧΕΙΡΗΣΗ</dc:title>
  <dc:creator>Dimos</dc:creator>
  <cp:lastModifiedBy>Dimis</cp:lastModifiedBy>
  <cp:revision>2</cp:revision>
  <cp:lastPrinted>2021-12-01T12:40:00Z</cp:lastPrinted>
  <dcterms:created xsi:type="dcterms:W3CDTF">2021-12-14T18:16:00Z</dcterms:created>
  <dcterms:modified xsi:type="dcterms:W3CDTF">2021-12-14T18:16:00Z</dcterms:modified>
</cp:coreProperties>
</file>